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8"/>
          <w:szCs w:val="28"/>
        </w:rPr>
        <w:t xml:space="preserve">江苏汽车技师学院机房不间断电源采购项目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编       号：JSQY-2022016-3  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JSQY-202</w:t>
      </w:r>
      <w:r>
        <w:rPr>
          <w:rFonts w:hint="eastAsia" w:ascii="Calibri" w:eastAsia="宋体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 w:ascii="Calibri" w:eastAsia="宋体"/>
          <w:lang w:val="en-US" w:eastAsia="zh-CN"/>
        </w:rPr>
        <w:t>16-3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5"/>
      </w:pPr>
    </w:p>
    <w:p/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bookmarkStart w:id="2" w:name="_GoBack"/>
      <w:bookmarkEnd w:id="2"/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16-3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16-3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8</Pages>
  <Words>339</Words>
  <Characters>1934</Characters>
  <Lines>16</Lines>
  <Paragraphs>4</Paragraphs>
  <TotalTime>2</TotalTime>
  <ScaleCrop>false</ScaleCrop>
  <LinksUpToDate>false</LinksUpToDate>
  <CharactersWithSpaces>2269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张艳</cp:lastModifiedBy>
  <cp:lastPrinted>2019-12-02T19:49:00Z</cp:lastPrinted>
  <dcterms:modified xsi:type="dcterms:W3CDTF">2022-03-24T07:29:17Z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006367DA611248B8A9DC5484861CDA5F</vt:lpwstr>
  </property>
</Properties>
</file>