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6"/>
        </w:rPr>
      </w:pPr>
      <w:r>
        <w:rPr>
          <w:rFonts w:hint="eastAsia" w:ascii="宋体" w:hAnsi="宋体"/>
          <w:b/>
          <w:color w:val="000000"/>
          <w:sz w:val="36"/>
          <w:lang w:val="en-US" w:eastAsia="zh-CN"/>
        </w:rPr>
        <w:t xml:space="preserve">                                   </w:t>
      </w:r>
      <w:r>
        <w:rPr>
          <w:rFonts w:hint="eastAsia" w:ascii="宋体" w:hAnsi="宋体"/>
          <w:b/>
          <w:color w:val="000000"/>
          <w:sz w:val="28"/>
          <w:szCs w:val="16"/>
        </w:rPr>
        <w:t>编号：</w:t>
      </w:r>
      <w:r>
        <w:rPr>
          <w:rFonts w:hint="eastAsia" w:ascii="宋体" w:hAnsi="宋体"/>
          <w:b/>
          <w:color w:val="000000"/>
          <w:sz w:val="28"/>
          <w:szCs w:val="16"/>
          <w:lang w:eastAsia="zh-CN"/>
        </w:rPr>
        <w:t>J</w:t>
      </w:r>
      <w:r>
        <w:rPr>
          <w:rFonts w:hint="eastAsia" w:ascii="宋体" w:hAnsi="宋体"/>
          <w:b/>
          <w:color w:val="000000"/>
          <w:sz w:val="28"/>
          <w:szCs w:val="16"/>
          <w:lang w:val="en-US" w:eastAsia="zh-CN"/>
        </w:rPr>
        <w:t>SQY-2022038</w:t>
      </w:r>
      <w:r>
        <w:rPr>
          <w:rFonts w:ascii="宋体" w:hAnsi="宋体"/>
          <w:b/>
          <w:color w:val="000000"/>
          <w:sz w:val="28"/>
          <w:szCs w:val="16"/>
        </w:rPr>
        <w:t>号</w:t>
      </w:r>
    </w:p>
    <w:p>
      <w:pPr>
        <w:ind w:left="660"/>
        <w:jc w:val="center"/>
        <w:rPr>
          <w:rFonts w:ascii="宋体" w:hAnsi="宋体"/>
          <w:bCs/>
          <w:sz w:val="30"/>
        </w:rPr>
      </w:pPr>
    </w:p>
    <w:p>
      <w:pPr>
        <w:keepNext w:val="0"/>
        <w:keepLines w:val="0"/>
        <w:pageBreakBefore w:val="0"/>
        <w:widowControl w:val="0"/>
        <w:tabs>
          <w:tab w:val="center" w:pos="4960"/>
        </w:tabs>
        <w:kinsoku/>
        <w:wordWrap/>
        <w:overflowPunct/>
        <w:topLinePunct w:val="0"/>
        <w:autoSpaceDE/>
        <w:autoSpaceDN/>
        <w:bidi w:val="0"/>
        <w:adjustRightInd/>
        <w:snapToGrid/>
        <w:spacing w:line="360" w:lineRule="auto"/>
        <w:jc w:val="center"/>
        <w:textAlignment w:val="auto"/>
        <w:rPr>
          <w:rFonts w:hint="eastAsia" w:ascii="宋体" w:hAnsi="宋体"/>
          <w:b/>
          <w:sz w:val="36"/>
          <w:lang w:eastAsia="zh-CN"/>
        </w:rPr>
      </w:pPr>
      <w:r>
        <w:rPr>
          <w:rFonts w:hint="eastAsia" w:ascii="宋体" w:hAnsi="宋体"/>
          <w:b/>
          <w:sz w:val="36"/>
          <w:lang w:eastAsia="zh-CN"/>
        </w:rPr>
        <w:t>江苏汽车技师学院</w:t>
      </w:r>
      <w:bookmarkStart w:id="5" w:name="_GoBack"/>
      <w:r>
        <w:rPr>
          <w:rFonts w:hint="eastAsia" w:ascii="宋体" w:hAnsi="宋体"/>
          <w:b/>
          <w:sz w:val="36"/>
          <w:lang w:eastAsia="zh-CN"/>
        </w:rPr>
        <w:t>广陵校区</w:t>
      </w:r>
    </w:p>
    <w:p>
      <w:pPr>
        <w:keepNext w:val="0"/>
        <w:keepLines w:val="0"/>
        <w:pageBreakBefore w:val="0"/>
        <w:widowControl w:val="0"/>
        <w:tabs>
          <w:tab w:val="center" w:pos="4960"/>
        </w:tabs>
        <w:kinsoku/>
        <w:wordWrap/>
        <w:overflowPunct/>
        <w:topLinePunct w:val="0"/>
        <w:autoSpaceDE/>
        <w:autoSpaceDN/>
        <w:bidi w:val="0"/>
        <w:adjustRightInd/>
        <w:snapToGrid/>
        <w:spacing w:line="360" w:lineRule="auto"/>
        <w:jc w:val="center"/>
        <w:textAlignment w:val="auto"/>
        <w:rPr>
          <w:rFonts w:hint="eastAsia" w:ascii="宋体" w:hAnsi="宋体"/>
          <w:b/>
          <w:sz w:val="36"/>
          <w:lang w:eastAsia="zh-CN"/>
        </w:rPr>
      </w:pPr>
      <w:r>
        <w:rPr>
          <w:rFonts w:hint="eastAsia" w:ascii="宋体" w:hAnsi="宋体"/>
          <w:b/>
          <w:sz w:val="36"/>
          <w:lang w:eastAsia="zh-CN"/>
        </w:rPr>
        <w:t>电动自行车充电站安装经营服务项目</w:t>
      </w:r>
    </w:p>
    <w:bookmarkEnd w:id="5"/>
    <w:p>
      <w:pPr>
        <w:tabs>
          <w:tab w:val="center" w:pos="4960"/>
        </w:tabs>
        <w:jc w:val="center"/>
        <w:rPr>
          <w:rFonts w:hint="eastAsia" w:ascii="宋体" w:hAnsi="宋体"/>
          <w:b/>
          <w:sz w:val="36"/>
          <w:lang w:eastAsia="zh-CN"/>
        </w:rPr>
      </w:pPr>
    </w:p>
    <w:p>
      <w:pPr>
        <w:tabs>
          <w:tab w:val="center" w:pos="4960"/>
        </w:tabs>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Line 20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09"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L9/61wAAAAkBAAAPAAAA&#10;AAAAAAEAIAAAACIAAABkcnMvZG93bnJldi54bWxQSwECFAAUAAAACACHTuJAdaekIN0BAADlAwAA&#10;DgAAAAAAAAABACAAAAAmAQAAZHJzL2Uyb0RvYy54bWxQSwUGAAAAAAYABgBZAQAAdQUAAAAA&#10;">
                <v:fill on="f" focussize="0,0"/>
                <v:stroke color="#000000" joinstyle="round"/>
                <v:imagedata o:title=""/>
                <o:lock v:ext="edit" aspectratio="f"/>
              </v:line>
            </w:pict>
          </mc:Fallback>
        </mc:AlternateContent>
      </w:r>
      <w:r>
        <w:rPr>
          <w:rFonts w:hint="eastAsia" w:ascii="宋体" w:hAnsi="宋体"/>
          <w:b/>
          <w:sz w:val="36"/>
          <w:szCs w:val="36"/>
          <w:lang w:eastAsia="zh-CN"/>
        </w:rPr>
        <w:t>谈判</w:t>
      </w:r>
      <w:r>
        <w:rPr>
          <w:rFonts w:ascii="宋体" w:hAnsi="宋体"/>
          <w:b/>
          <w:sz w:val="36"/>
          <w:szCs w:val="36"/>
        </w:rPr>
        <w:t>文件</w:t>
      </w:r>
    </w:p>
    <w:p>
      <w:pPr>
        <w:jc w:val="both"/>
        <w:rPr>
          <w:rFonts w:ascii="宋体" w:hAnsi="宋体"/>
          <w:b/>
          <w:sz w:val="44"/>
          <w:szCs w:val="44"/>
        </w:rPr>
      </w:pPr>
    </w:p>
    <w:p>
      <w:pPr>
        <w:jc w:val="center"/>
        <w:rPr>
          <w:rFonts w:ascii="宋体" w:hAnsi="宋体"/>
          <w:bCs/>
          <w:spacing w:val="20"/>
          <w:sz w:val="52"/>
          <w:szCs w:val="52"/>
        </w:rPr>
      </w:pPr>
      <w:r>
        <w:rPr>
          <w:rFonts w:ascii="宋体" w:hAnsi="宋体"/>
          <w:b/>
          <w:color w:val="000000"/>
          <w:sz w:val="36"/>
        </w:rPr>
        <w:drawing>
          <wp:inline distT="0" distB="0" distL="114300" distR="114300">
            <wp:extent cx="5276850" cy="4290695"/>
            <wp:effectExtent l="0" t="0" r="0" b="0"/>
            <wp:docPr id="4" name="图片 1"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江苏汽车技师学院大门_看图王"/>
                    <pic:cNvPicPr>
                      <a:picLocks noChangeAspect="1"/>
                    </pic:cNvPicPr>
                  </pic:nvPicPr>
                  <pic:blipFill>
                    <a:blip r:embed="rId6"/>
                    <a:srcRect l="13893" r="14268" b="-4242"/>
                    <a:stretch>
                      <a:fillRect/>
                    </a:stretch>
                  </pic:blipFill>
                  <pic:spPr>
                    <a:xfrm>
                      <a:off x="0" y="0"/>
                      <a:ext cx="5276850" cy="4290695"/>
                    </a:xfrm>
                    <a:prstGeom prst="rect">
                      <a:avLst/>
                    </a:prstGeom>
                    <a:noFill/>
                    <a:ln>
                      <a:noFill/>
                    </a:ln>
                  </pic:spPr>
                </pic:pic>
              </a:graphicData>
            </a:graphic>
          </wp:inline>
        </w:drawing>
      </w:r>
    </w:p>
    <w:p>
      <w:pPr>
        <w:tabs>
          <w:tab w:val="left" w:pos="9921"/>
        </w:tabs>
        <w:jc w:val="both"/>
        <w:rPr>
          <w:rFonts w:ascii="宋体" w:hAnsi="宋体"/>
          <w:bCs/>
          <w:sz w:val="30"/>
        </w:rPr>
      </w:pPr>
    </w:p>
    <w:p>
      <w:pPr>
        <w:keepNext w:val="0"/>
        <w:keepLines w:val="0"/>
        <w:pageBreakBefore w:val="0"/>
        <w:widowControl w:val="0"/>
        <w:kinsoku/>
        <w:wordWrap/>
        <w:overflowPunct/>
        <w:topLinePunct w:val="0"/>
        <w:autoSpaceDE/>
        <w:autoSpaceDN/>
        <w:bidi w:val="0"/>
        <w:adjustRightInd/>
        <w:snapToGrid/>
        <w:spacing w:line="480" w:lineRule="auto"/>
        <w:ind w:firstLine="1012" w:firstLineChars="350"/>
        <w:jc w:val="center"/>
        <w:textAlignment w:val="auto"/>
        <w:rPr>
          <w:rFonts w:hint="eastAsia" w:ascii="宋体" w:hAnsi="宋体"/>
          <w:b/>
          <w:bCs/>
          <w:color w:val="000000"/>
          <w:w w:val="90"/>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3037" w:firstLineChars="1050"/>
        <w:jc w:val="both"/>
        <w:textAlignment w:val="auto"/>
        <w:rPr>
          <w:rFonts w:hint="eastAsia" w:ascii="宋体" w:hAnsi="宋体" w:eastAsia="宋体"/>
          <w:b/>
          <w:bCs/>
          <w:w w:val="90"/>
          <w:kern w:val="0"/>
          <w:sz w:val="32"/>
          <w:szCs w:val="32"/>
          <w:lang w:eastAsia="zh-CN"/>
        </w:rPr>
      </w:pPr>
      <w:r>
        <w:rPr>
          <w:rFonts w:hint="eastAsia" w:ascii="宋体" w:hAnsi="宋体"/>
          <w:b/>
          <w:bCs/>
          <w:color w:val="000000"/>
          <w:w w:val="90"/>
          <w:kern w:val="0"/>
          <w:sz w:val="32"/>
          <w:szCs w:val="32"/>
        </w:rPr>
        <w:t>采  购  人：</w:t>
      </w:r>
      <w:r>
        <w:rPr>
          <w:rFonts w:hint="eastAsia" w:ascii="宋体" w:hAnsi="宋体"/>
          <w:b/>
          <w:bCs/>
          <w:color w:val="000000"/>
          <w:w w:val="90"/>
          <w:kern w:val="0"/>
          <w:sz w:val="32"/>
          <w:szCs w:val="32"/>
          <w:lang w:eastAsia="zh-CN"/>
        </w:rPr>
        <w:t>江苏汽车技师学院</w:t>
      </w:r>
    </w:p>
    <w:p>
      <w:pPr>
        <w:keepNext w:val="0"/>
        <w:keepLines w:val="0"/>
        <w:pageBreakBefore w:val="0"/>
        <w:widowControl w:val="0"/>
        <w:kinsoku/>
        <w:wordWrap/>
        <w:overflowPunct/>
        <w:topLinePunct w:val="0"/>
        <w:autoSpaceDE/>
        <w:autoSpaceDN/>
        <w:bidi w:val="0"/>
        <w:adjustRightInd/>
        <w:snapToGrid/>
        <w:spacing w:line="480" w:lineRule="auto"/>
        <w:ind w:firstLine="3037" w:firstLineChars="1050"/>
        <w:jc w:val="both"/>
        <w:textAlignment w:val="auto"/>
        <w:rPr>
          <w:rFonts w:hint="default" w:ascii="宋体" w:hAnsi="宋体" w:eastAsia="宋体"/>
          <w:b/>
          <w:bCs/>
          <w:color w:val="000000"/>
          <w:w w:val="90"/>
          <w:kern w:val="0"/>
          <w:sz w:val="32"/>
          <w:szCs w:val="32"/>
          <w:lang w:val="en-US" w:eastAsia="zh-CN"/>
        </w:rPr>
      </w:pPr>
      <w:r>
        <w:rPr>
          <w:rFonts w:hint="eastAsia" w:ascii="宋体" w:hAnsi="宋体"/>
          <w:b/>
          <w:bCs/>
          <w:color w:val="000000"/>
          <w:w w:val="90"/>
          <w:kern w:val="0"/>
          <w:sz w:val="32"/>
          <w:szCs w:val="32"/>
        </w:rPr>
        <w:t>发 放 日 期：202</w:t>
      </w:r>
      <w:r>
        <w:rPr>
          <w:rFonts w:hint="eastAsia" w:ascii="宋体" w:hAnsi="宋体"/>
          <w:b/>
          <w:bCs/>
          <w:color w:val="000000"/>
          <w:w w:val="90"/>
          <w:kern w:val="0"/>
          <w:sz w:val="32"/>
          <w:szCs w:val="32"/>
          <w:lang w:val="en-US" w:eastAsia="zh-CN"/>
        </w:rPr>
        <w:t>2</w:t>
      </w:r>
      <w:r>
        <w:rPr>
          <w:rFonts w:hint="eastAsia" w:ascii="宋体" w:hAnsi="宋体"/>
          <w:b/>
          <w:bCs/>
          <w:color w:val="000000"/>
          <w:w w:val="90"/>
          <w:kern w:val="0"/>
          <w:sz w:val="32"/>
          <w:szCs w:val="32"/>
        </w:rPr>
        <w:t>年</w:t>
      </w:r>
      <w:r>
        <w:rPr>
          <w:rFonts w:hint="eastAsia" w:ascii="宋体" w:hAnsi="宋体"/>
          <w:b/>
          <w:bCs/>
          <w:color w:val="000000"/>
          <w:w w:val="90"/>
          <w:kern w:val="0"/>
          <w:sz w:val="32"/>
          <w:szCs w:val="32"/>
          <w:lang w:val="en-US" w:eastAsia="zh-CN"/>
        </w:rPr>
        <w:t>6</w:t>
      </w:r>
      <w:r>
        <w:rPr>
          <w:rFonts w:hint="eastAsia" w:ascii="宋体" w:hAnsi="宋体"/>
          <w:b/>
          <w:bCs/>
          <w:color w:val="000000"/>
          <w:w w:val="90"/>
          <w:kern w:val="0"/>
          <w:sz w:val="32"/>
          <w:szCs w:val="32"/>
          <w:lang w:eastAsia="zh-CN"/>
        </w:rPr>
        <w:t>月</w:t>
      </w:r>
      <w:r>
        <w:rPr>
          <w:rFonts w:hint="eastAsia" w:ascii="宋体" w:hAnsi="宋体"/>
          <w:b/>
          <w:bCs/>
          <w:color w:val="000000"/>
          <w:w w:val="90"/>
          <w:kern w:val="0"/>
          <w:sz w:val="32"/>
          <w:szCs w:val="32"/>
          <w:lang w:val="en-US" w:eastAsia="zh-CN"/>
        </w:rPr>
        <w:t>2日</w:t>
      </w:r>
    </w:p>
    <w:p>
      <w:pPr>
        <w:jc w:val="both"/>
        <w:rPr>
          <w:rFonts w:ascii="宋体" w:hAnsi="宋体"/>
          <w:bCs/>
          <w:sz w:val="32"/>
        </w:rPr>
      </w:pPr>
    </w:p>
    <w:p>
      <w:pPr>
        <w:rPr>
          <w:rFonts w:hint="eastAsia" w:ascii="宋体" w:hAnsi="宋体"/>
          <w:b/>
          <w:bCs/>
          <w:color w:val="000000"/>
          <w:sz w:val="32"/>
          <w:szCs w:val="32"/>
        </w:rPr>
      </w:pPr>
      <w:r>
        <w:rPr>
          <w:rFonts w:hint="eastAsia" w:ascii="宋体" w:hAnsi="宋体"/>
          <w:b/>
          <w:bCs/>
          <w:color w:val="000000"/>
          <w:sz w:val="32"/>
          <w:szCs w:val="32"/>
        </w:rPr>
        <w:br w:type="page"/>
      </w:r>
    </w:p>
    <w:p>
      <w:pPr>
        <w:jc w:val="center"/>
        <w:rPr>
          <w:rStyle w:val="11"/>
          <w:rFonts w:ascii="宋体" w:hAnsi="宋体"/>
          <w:b/>
          <w:bCs/>
          <w:sz w:val="48"/>
        </w:rPr>
      </w:pPr>
    </w:p>
    <w:p>
      <w:pPr>
        <w:jc w:val="center"/>
        <w:rPr>
          <w:rStyle w:val="11"/>
          <w:rFonts w:ascii="宋体" w:hAnsi="宋体"/>
          <w:b/>
          <w:bCs/>
          <w:sz w:val="48"/>
        </w:rPr>
      </w:pPr>
      <w:r>
        <w:rPr>
          <w:rStyle w:val="11"/>
          <w:rFonts w:ascii="宋体" w:hAnsi="宋体"/>
          <w:b/>
          <w:bCs/>
          <w:sz w:val="48"/>
        </w:rPr>
        <w:t>目     录</w:t>
      </w:r>
    </w:p>
    <w:p>
      <w:pPr>
        <w:jc w:val="both"/>
        <w:rPr>
          <w:rFonts w:ascii="宋体" w:hAnsi="宋体"/>
          <w:bCs/>
          <w:sz w:val="30"/>
        </w:rPr>
      </w:pPr>
    </w:p>
    <w:p>
      <w:pPr>
        <w:spacing w:line="720" w:lineRule="auto"/>
        <w:ind w:firstLine="452" w:firstLineChars="150"/>
        <w:jc w:val="both"/>
        <w:rPr>
          <w:rFonts w:hint="eastAsia" w:ascii="宋体" w:hAnsi="宋体" w:eastAsia="宋体"/>
          <w:b/>
          <w:bCs/>
          <w:sz w:val="30"/>
          <w:szCs w:val="30"/>
          <w:lang w:eastAsia="zh-CN"/>
        </w:rPr>
      </w:pPr>
      <w:r>
        <w:rPr>
          <w:rFonts w:ascii="宋体" w:hAnsi="宋体"/>
          <w:b/>
          <w:bCs/>
          <w:sz w:val="30"/>
          <w:szCs w:val="30"/>
        </w:rPr>
        <w:t>一</w:t>
      </w:r>
      <w:r>
        <w:rPr>
          <w:rFonts w:hint="eastAsia" w:ascii="宋体" w:hAnsi="宋体"/>
          <w:b/>
          <w:bCs/>
          <w:sz w:val="30"/>
          <w:szCs w:val="30"/>
        </w:rPr>
        <w:t>、</w:t>
      </w:r>
      <w:r>
        <w:rPr>
          <w:rFonts w:hint="eastAsia" w:ascii="宋体" w:hAnsi="宋体"/>
          <w:b/>
          <w:bCs/>
          <w:sz w:val="30"/>
          <w:szCs w:val="30"/>
          <w:lang w:eastAsia="zh-CN"/>
        </w:rPr>
        <w:t>谈判公告</w:t>
      </w:r>
    </w:p>
    <w:p>
      <w:pPr>
        <w:spacing w:line="720" w:lineRule="auto"/>
        <w:ind w:firstLine="452" w:firstLineChars="150"/>
        <w:jc w:val="both"/>
        <w:rPr>
          <w:rFonts w:hint="eastAsia" w:ascii="宋体" w:hAnsi="宋体" w:eastAsia="宋体"/>
          <w:b/>
          <w:bCs/>
          <w:sz w:val="30"/>
          <w:szCs w:val="30"/>
          <w:lang w:eastAsia="zh-CN"/>
        </w:rPr>
      </w:pPr>
      <w:r>
        <w:rPr>
          <w:rFonts w:hint="eastAsia" w:ascii="宋体" w:hAnsi="宋体"/>
          <w:b/>
          <w:bCs/>
          <w:sz w:val="30"/>
          <w:szCs w:val="30"/>
          <w:lang w:eastAsia="zh-CN"/>
        </w:rPr>
        <w:t>二</w:t>
      </w:r>
      <w:r>
        <w:rPr>
          <w:rFonts w:hint="eastAsia" w:ascii="宋体" w:hAnsi="宋体"/>
          <w:b/>
          <w:bCs/>
          <w:sz w:val="30"/>
          <w:szCs w:val="30"/>
        </w:rPr>
        <w:t>、</w:t>
      </w:r>
      <w:r>
        <w:rPr>
          <w:rFonts w:hint="eastAsia" w:ascii="宋体" w:hAnsi="宋体"/>
          <w:b/>
          <w:bCs/>
          <w:sz w:val="30"/>
          <w:szCs w:val="30"/>
          <w:lang w:eastAsia="zh-CN"/>
        </w:rPr>
        <w:t>项目需求</w:t>
      </w:r>
    </w:p>
    <w:p>
      <w:pPr>
        <w:spacing w:line="720" w:lineRule="auto"/>
        <w:ind w:firstLine="452" w:firstLineChars="150"/>
        <w:jc w:val="both"/>
        <w:rPr>
          <w:rFonts w:ascii="宋体" w:hAnsi="宋体"/>
          <w:b/>
          <w:bCs/>
          <w:sz w:val="28"/>
          <w:szCs w:val="28"/>
        </w:rPr>
      </w:pPr>
      <w:r>
        <w:rPr>
          <w:rFonts w:hint="eastAsia" w:ascii="宋体" w:hAnsi="宋体"/>
          <w:b/>
          <w:bCs/>
          <w:sz w:val="30"/>
          <w:szCs w:val="30"/>
          <w:lang w:eastAsia="zh-CN"/>
        </w:rPr>
        <w:t>三</w:t>
      </w:r>
      <w:r>
        <w:rPr>
          <w:rFonts w:hint="eastAsia" w:ascii="宋体" w:hAnsi="宋体"/>
          <w:b/>
          <w:bCs/>
          <w:sz w:val="30"/>
          <w:szCs w:val="30"/>
        </w:rPr>
        <w:t>、</w:t>
      </w:r>
      <w:r>
        <w:rPr>
          <w:rFonts w:hint="eastAsia" w:ascii="宋体" w:hAnsi="宋体"/>
          <w:b/>
          <w:bCs/>
          <w:sz w:val="30"/>
          <w:szCs w:val="30"/>
          <w:lang w:eastAsia="zh-CN"/>
        </w:rPr>
        <w:t>谈判</w:t>
      </w:r>
      <w:r>
        <w:rPr>
          <w:rFonts w:ascii="宋体" w:hAnsi="宋体"/>
          <w:b/>
          <w:bCs/>
          <w:sz w:val="30"/>
          <w:szCs w:val="30"/>
        </w:rPr>
        <w:t>文件格式</w:t>
      </w:r>
    </w:p>
    <w:p>
      <w:pPr>
        <w:rPr>
          <w:rFonts w:hint="eastAsia" w:ascii="宋体" w:hAnsi="宋体"/>
          <w:b/>
          <w:bCs/>
          <w:color w:val="000000"/>
          <w:sz w:val="32"/>
          <w:szCs w:val="32"/>
        </w:rPr>
      </w:pPr>
      <w:r>
        <w:rPr>
          <w:rFonts w:hint="eastAsia" w:ascii="宋体" w:hAnsi="宋体"/>
          <w:b/>
          <w:bCs/>
          <w:color w:val="000000"/>
          <w:sz w:val="32"/>
          <w:szCs w:val="32"/>
        </w:rPr>
        <w:br w:type="page"/>
      </w:r>
    </w:p>
    <w:p>
      <w:pPr>
        <w:autoSpaceDE w:val="0"/>
        <w:autoSpaceDN w:val="0"/>
        <w:adjustRightInd w:val="0"/>
        <w:spacing w:line="440" w:lineRule="exact"/>
        <w:ind w:firstLine="3855" w:firstLineChars="1200"/>
        <w:jc w:val="both"/>
        <w:rPr>
          <w:rFonts w:hint="default" w:ascii="宋体" w:hAnsi="宋体"/>
          <w:b/>
          <w:bCs/>
          <w:color w:val="000000"/>
          <w:sz w:val="32"/>
          <w:szCs w:val="32"/>
          <w:lang w:val="en-US" w:eastAsia="zh-CN"/>
        </w:rPr>
      </w:pPr>
      <w:r>
        <w:rPr>
          <w:rFonts w:hint="eastAsia" w:ascii="宋体" w:hAnsi="宋体"/>
          <w:b/>
          <w:bCs/>
          <w:color w:val="000000"/>
          <w:sz w:val="32"/>
          <w:szCs w:val="32"/>
          <w:lang w:eastAsia="zh-CN"/>
        </w:rPr>
        <w:t>第一章</w:t>
      </w:r>
      <w:r>
        <w:rPr>
          <w:rFonts w:hint="eastAsia" w:ascii="宋体" w:hAnsi="宋体"/>
          <w:b/>
          <w:bCs/>
          <w:color w:val="000000"/>
          <w:sz w:val="32"/>
          <w:szCs w:val="32"/>
          <w:lang w:val="en-US" w:eastAsia="zh-CN"/>
        </w:rPr>
        <w:t xml:space="preserve"> 谈判公告</w:t>
      </w:r>
    </w:p>
    <w:p>
      <w:pPr>
        <w:keepNext w:val="0"/>
        <w:keepLines w:val="0"/>
        <w:pageBreakBefore w:val="0"/>
        <w:widowControl w:val="0"/>
        <w:kinsoku/>
        <w:wordWrap/>
        <w:overflowPunct/>
        <w:topLinePunct w:val="0"/>
        <w:autoSpaceDE w:val="0"/>
        <w:autoSpaceDN w:val="0"/>
        <w:bidi w:val="0"/>
        <w:adjustRightInd w:val="0"/>
        <w:snapToGrid/>
        <w:spacing w:before="157" w:beforeLines="50" w:line="440" w:lineRule="exact"/>
        <w:ind w:firstLine="420" w:firstLineChars="200"/>
        <w:jc w:val="left"/>
        <w:textAlignment w:val="auto"/>
        <w:rPr>
          <w:rFonts w:ascii="宋体" w:hAnsi="宋体"/>
          <w:color w:val="000000"/>
          <w:szCs w:val="21"/>
        </w:rPr>
      </w:pPr>
      <w:r>
        <w:rPr>
          <w:rFonts w:hint="eastAsia" w:ascii="宋体" w:hAnsi="宋体"/>
          <w:color w:val="000000"/>
          <w:szCs w:val="21"/>
        </w:rPr>
        <w:t>江苏汽车技师学院就我院广陵校区</w:t>
      </w:r>
      <w:r>
        <w:rPr>
          <w:rFonts w:hint="eastAsia" w:ascii="宋体" w:hAnsi="宋体"/>
          <w:color w:val="000000"/>
          <w:szCs w:val="21"/>
          <w:lang w:eastAsia="zh-CN"/>
        </w:rPr>
        <w:t>电动自行车充电站安装经营服务项目</w:t>
      </w:r>
      <w:r>
        <w:rPr>
          <w:rFonts w:hint="eastAsia" w:ascii="宋体" w:hAnsi="宋体"/>
          <w:color w:val="000000"/>
          <w:szCs w:val="21"/>
        </w:rPr>
        <w:t>进行</w:t>
      </w:r>
      <w:r>
        <w:rPr>
          <w:rFonts w:hint="eastAsia" w:ascii="宋体" w:hAnsi="宋体"/>
          <w:color w:val="000000"/>
          <w:szCs w:val="21"/>
          <w:lang w:eastAsia="zh-CN"/>
        </w:rPr>
        <w:t>邀请谈判</w:t>
      </w:r>
      <w:r>
        <w:rPr>
          <w:rFonts w:hint="eastAsia" w:ascii="宋体" w:hAnsi="宋体"/>
          <w:color w:val="000000"/>
          <w:szCs w:val="21"/>
        </w:rPr>
        <w:t>，欢迎符合相关条件的供应商参加。</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ascii="宋体" w:hAnsi="宋体"/>
          <w:b/>
          <w:color w:val="000000"/>
          <w:szCs w:val="21"/>
        </w:rPr>
      </w:pPr>
      <w:r>
        <w:rPr>
          <w:rFonts w:hint="eastAsia" w:ascii="宋体" w:hAnsi="宋体"/>
          <w:b/>
          <w:color w:val="000000"/>
          <w:szCs w:val="21"/>
        </w:rPr>
        <w:t>一、</w:t>
      </w:r>
      <w:r>
        <w:rPr>
          <w:rFonts w:hint="eastAsia" w:ascii="宋体" w:hAnsi="宋体"/>
          <w:b/>
          <w:szCs w:val="21"/>
        </w:rPr>
        <w:t>采购项目名称及编号</w:t>
      </w:r>
    </w:p>
    <w:p>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项目名称：江苏汽车技师学院广陵校区电动自行车充电站安装经营服务项目</w:t>
      </w:r>
    </w:p>
    <w:p>
      <w:pPr>
        <w:spacing w:line="360" w:lineRule="auto"/>
        <w:ind w:firstLine="420" w:firstLineChars="200"/>
        <w:rPr>
          <w:rFonts w:hint="eastAsia" w:ascii="宋体" w:hAnsi="宋体"/>
          <w:color w:val="000000"/>
          <w:szCs w:val="21"/>
        </w:rPr>
      </w:pPr>
      <w:r>
        <w:rPr>
          <w:rFonts w:hint="eastAsia" w:ascii="宋体" w:hAnsi="宋体"/>
          <w:color w:val="000000"/>
          <w:szCs w:val="21"/>
        </w:rPr>
        <w:t>项目编号：</w:t>
      </w:r>
      <w:r>
        <w:rPr>
          <w:rFonts w:hint="eastAsia" w:ascii="黑体" w:hAnsi="黑体" w:eastAsia="黑体"/>
          <w:szCs w:val="21"/>
        </w:rPr>
        <w:t>JSQY-20</w:t>
      </w:r>
      <w:r>
        <w:rPr>
          <w:rFonts w:ascii="黑体" w:hAnsi="黑体" w:eastAsia="黑体"/>
          <w:szCs w:val="21"/>
        </w:rPr>
        <w:t>2</w:t>
      </w:r>
      <w:r>
        <w:rPr>
          <w:rFonts w:hint="eastAsia" w:ascii="黑体" w:hAnsi="黑体" w:eastAsia="黑体"/>
          <w:szCs w:val="21"/>
          <w:lang w:val="en-US" w:eastAsia="zh-CN"/>
        </w:rPr>
        <w:t>2038</w:t>
      </w:r>
      <w:r>
        <w:rPr>
          <w:rFonts w:hint="eastAsia" w:ascii="黑体" w:hAnsi="黑体" w:eastAsia="黑体"/>
          <w:szCs w:val="21"/>
        </w:rPr>
        <w:t>号</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b/>
          <w:color w:val="000000"/>
          <w:szCs w:val="21"/>
        </w:rPr>
      </w:pPr>
      <w:r>
        <w:rPr>
          <w:rFonts w:hint="eastAsia" w:ascii="宋体" w:hAnsi="宋体"/>
          <w:b/>
          <w:color w:val="000000"/>
          <w:szCs w:val="21"/>
          <w:lang w:eastAsia="zh-CN"/>
        </w:rPr>
        <w:t>二、</w:t>
      </w:r>
      <w:r>
        <w:rPr>
          <w:rFonts w:hint="eastAsia" w:ascii="宋体" w:hAnsi="宋体"/>
          <w:b/>
          <w:color w:val="000000"/>
          <w:szCs w:val="21"/>
        </w:rPr>
        <w:t>采购项目简要说明及预算金额</w:t>
      </w:r>
    </w:p>
    <w:p>
      <w:pPr>
        <w:spacing w:line="360" w:lineRule="auto"/>
        <w:ind w:firstLine="420" w:firstLineChars="200"/>
        <w:outlineLvl w:val="0"/>
        <w:rPr>
          <w:rFonts w:hint="eastAsia" w:ascii="宋体" w:hAnsi="宋体" w:eastAsia="宋体"/>
          <w:color w:val="000000"/>
          <w:szCs w:val="21"/>
          <w:lang w:eastAsia="zh-CN"/>
        </w:rPr>
      </w:pPr>
      <w:r>
        <w:rPr>
          <w:rFonts w:hint="eastAsia" w:ascii="宋体" w:hAnsi="宋体"/>
          <w:color w:val="000000"/>
          <w:szCs w:val="21"/>
        </w:rPr>
        <w:t>本项目采购预算：</w:t>
      </w:r>
      <w:r>
        <w:rPr>
          <w:rFonts w:hint="eastAsia" w:ascii="宋体" w:hAnsi="宋体"/>
          <w:color w:val="000000"/>
          <w:szCs w:val="21"/>
          <w:lang w:val="en-US" w:eastAsia="zh-CN"/>
        </w:rPr>
        <w:t>0元</w:t>
      </w:r>
    </w:p>
    <w:p>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项目简介详见附件</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b/>
          <w:color w:val="000000"/>
          <w:szCs w:val="21"/>
        </w:rPr>
      </w:pPr>
      <w:r>
        <w:rPr>
          <w:rFonts w:hint="eastAsia" w:ascii="宋体" w:hAnsi="宋体"/>
          <w:b/>
          <w:color w:val="000000"/>
          <w:szCs w:val="21"/>
        </w:rPr>
        <w:t>三、资格要求</w:t>
      </w:r>
    </w:p>
    <w:p>
      <w:pPr>
        <w:tabs>
          <w:tab w:val="left" w:pos="900"/>
        </w:tabs>
        <w:spacing w:line="360" w:lineRule="auto"/>
        <w:ind w:left="420"/>
        <w:rPr>
          <w:rFonts w:hint="eastAsia" w:ascii="宋体" w:hAnsi="宋体" w:cs="Arial"/>
          <w:color w:val="000000"/>
          <w:spacing w:val="-6"/>
          <w:szCs w:val="21"/>
        </w:rPr>
      </w:pPr>
      <w:r>
        <w:rPr>
          <w:rFonts w:hint="eastAsia" w:ascii="仿宋_GB2312" w:hAnsi="宋体" w:cs="Arial"/>
          <w:szCs w:val="21"/>
        </w:rPr>
        <w:t>（一） 参加本次采购的供应商应具备以下条件</w:t>
      </w:r>
      <w:r>
        <w:rPr>
          <w:rFonts w:hint="eastAsia" w:ascii="宋体" w:hAnsi="宋体" w:cs="Arial"/>
          <w:color w:val="000000"/>
          <w:spacing w:val="-6"/>
          <w:szCs w:val="21"/>
        </w:rPr>
        <w:t>：</w:t>
      </w:r>
    </w:p>
    <w:p>
      <w:pPr>
        <w:spacing w:line="360" w:lineRule="auto"/>
        <w:ind w:right="312" w:firstLine="525" w:firstLineChars="250"/>
        <w:rPr>
          <w:rFonts w:hint="eastAsia" w:ascii="宋体" w:hAnsi="宋体" w:eastAsia="宋体" w:cs="宋体"/>
          <w:i/>
          <w:szCs w:val="21"/>
          <w:u w:val="single"/>
          <w:lang w:eastAsia="zh-CN"/>
        </w:rPr>
      </w:pPr>
      <w:r>
        <w:rPr>
          <w:rFonts w:hint="eastAsia" w:ascii="宋体" w:hAnsi="宋体"/>
          <w:b w:val="0"/>
          <w:bCs/>
          <w:i/>
          <w:u w:val="single"/>
          <w:lang w:val="en-US" w:eastAsia="zh-CN"/>
        </w:rPr>
        <w:t>1、</w:t>
      </w:r>
      <w:r>
        <w:rPr>
          <w:rFonts w:hint="eastAsia" w:ascii="宋体" w:hAnsi="宋体" w:cs="宋体"/>
          <w:i/>
          <w:szCs w:val="21"/>
          <w:u w:val="single"/>
        </w:rPr>
        <w:t>若法定代表人参加磋商的，须提供本人身份证</w:t>
      </w:r>
      <w:r>
        <w:rPr>
          <w:rFonts w:hint="eastAsia" w:ascii="宋体" w:hAnsi="宋体" w:cs="宋体"/>
          <w:b/>
          <w:i/>
          <w:szCs w:val="21"/>
          <w:u w:val="single"/>
        </w:rPr>
        <w:t>复印件(原件备查)</w:t>
      </w:r>
      <w:r>
        <w:rPr>
          <w:rFonts w:hint="eastAsia" w:ascii="宋体" w:hAnsi="宋体" w:cs="宋体"/>
          <w:i/>
          <w:szCs w:val="21"/>
          <w:u w:val="single"/>
        </w:rPr>
        <w:t>；若授权代表参加磋商的，须提供《法人授权书》</w:t>
      </w:r>
      <w:r>
        <w:rPr>
          <w:rFonts w:hint="eastAsia" w:ascii="宋体" w:hAnsi="宋体" w:cs="宋体"/>
          <w:b/>
          <w:i/>
          <w:szCs w:val="21"/>
          <w:u w:val="single"/>
        </w:rPr>
        <w:t>原件</w:t>
      </w:r>
      <w:r>
        <w:rPr>
          <w:rFonts w:hint="eastAsia" w:ascii="宋体" w:hAnsi="宋体" w:cs="宋体"/>
          <w:i/>
          <w:szCs w:val="21"/>
          <w:u w:val="single"/>
        </w:rPr>
        <w:t>和授权代表身份证</w:t>
      </w:r>
      <w:r>
        <w:rPr>
          <w:rFonts w:hint="eastAsia" w:ascii="宋体" w:hAnsi="宋体" w:cs="宋体"/>
          <w:b/>
          <w:i/>
          <w:szCs w:val="21"/>
          <w:u w:val="single"/>
        </w:rPr>
        <w:t>复印件(原件备查)</w:t>
      </w:r>
      <w:r>
        <w:rPr>
          <w:rFonts w:hint="eastAsia" w:ascii="宋体" w:hAnsi="宋体" w:cs="宋体"/>
          <w:b/>
          <w:i/>
          <w:szCs w:val="21"/>
          <w:u w:val="single"/>
          <w:lang w:eastAsia="zh-CN"/>
        </w:rPr>
        <w:t>；</w:t>
      </w:r>
    </w:p>
    <w:p>
      <w:pPr>
        <w:spacing w:line="360" w:lineRule="auto"/>
        <w:ind w:firstLine="525" w:firstLineChars="250"/>
        <w:rPr>
          <w:rFonts w:hint="eastAsia" w:ascii="宋体" w:hAnsi="宋体" w:eastAsia="宋体"/>
          <w:i/>
          <w:highlight w:val="none"/>
          <w:u w:val="single"/>
          <w:lang w:eastAsia="zh-CN"/>
        </w:rPr>
      </w:pPr>
      <w:r>
        <w:rPr>
          <w:rFonts w:hint="eastAsia" w:ascii="宋体" w:hAnsi="宋体"/>
          <w:i/>
          <w:highlight w:val="none"/>
          <w:u w:val="single"/>
          <w:lang w:val="en-US" w:eastAsia="zh-CN"/>
        </w:rPr>
        <w:t>2</w:t>
      </w:r>
      <w:r>
        <w:rPr>
          <w:rFonts w:hint="eastAsia" w:ascii="宋体" w:hAnsi="宋体"/>
          <w:i/>
          <w:highlight w:val="none"/>
          <w:u w:val="single"/>
        </w:rPr>
        <w:t>、营业执照副本</w:t>
      </w:r>
      <w:r>
        <w:rPr>
          <w:rFonts w:hint="eastAsia" w:ascii="宋体" w:hAnsi="宋体"/>
          <w:b/>
          <w:i/>
          <w:highlight w:val="none"/>
          <w:u w:val="single"/>
        </w:rPr>
        <w:t>(复印件加盖投标人公章)</w:t>
      </w:r>
      <w:r>
        <w:rPr>
          <w:rFonts w:hint="eastAsia" w:ascii="宋体" w:hAnsi="宋体"/>
          <w:b/>
          <w:i/>
          <w:highlight w:val="none"/>
          <w:u w:val="single"/>
          <w:lang w:eastAsia="zh-CN"/>
        </w:rPr>
        <w:t>；</w:t>
      </w:r>
    </w:p>
    <w:p>
      <w:pPr>
        <w:spacing w:line="360" w:lineRule="auto"/>
        <w:ind w:firstLine="525" w:firstLineChars="250"/>
        <w:rPr>
          <w:rFonts w:hint="eastAsia" w:ascii="宋体" w:hAnsi="宋体" w:eastAsia="宋体"/>
          <w:b/>
          <w:bCs/>
          <w:i/>
          <w:u w:val="single"/>
          <w:lang w:eastAsia="zh-CN"/>
        </w:rPr>
      </w:pPr>
      <w:r>
        <w:rPr>
          <w:rFonts w:hint="eastAsia" w:ascii="宋体" w:hAnsi="宋体"/>
          <w:i/>
          <w:u w:val="single"/>
          <w:lang w:val="en-US" w:eastAsia="zh-CN"/>
        </w:rPr>
        <w:t>3</w:t>
      </w:r>
      <w:r>
        <w:rPr>
          <w:rFonts w:hint="eastAsia" w:ascii="宋体" w:hAnsi="宋体"/>
          <w:i/>
          <w:u w:val="single"/>
        </w:rPr>
        <w:t>、供应商参加本次政府采购活动前3年内在经营活动中没有重大违法记录的书面声明</w:t>
      </w:r>
      <w:r>
        <w:rPr>
          <w:rFonts w:hint="eastAsia" w:ascii="宋体" w:hAnsi="宋体"/>
          <w:b/>
          <w:bCs/>
          <w:i/>
          <w:u w:val="single"/>
        </w:rPr>
        <w:t>（原件）</w:t>
      </w:r>
      <w:r>
        <w:rPr>
          <w:rFonts w:hint="eastAsia" w:ascii="宋体" w:hAnsi="宋体"/>
          <w:b/>
          <w:bCs/>
          <w:i/>
          <w:u w:val="single"/>
          <w:lang w:eastAsia="zh-CN"/>
        </w:rPr>
        <w:t>；</w:t>
      </w:r>
    </w:p>
    <w:p>
      <w:pPr>
        <w:spacing w:line="360" w:lineRule="auto"/>
        <w:ind w:firstLine="525" w:firstLineChars="250"/>
        <w:rPr>
          <w:rFonts w:hint="eastAsia" w:ascii="宋体" w:hAnsi="宋体" w:eastAsia="宋体" w:cs="Times New Roman"/>
          <w:i/>
          <w:color w:val="auto"/>
          <w:kern w:val="2"/>
          <w:sz w:val="21"/>
          <w:szCs w:val="22"/>
          <w:u w:val="single"/>
          <w:lang w:val="en-US" w:eastAsia="zh-CN" w:bidi="ar-SA"/>
        </w:rPr>
      </w:pPr>
      <w:r>
        <w:rPr>
          <w:rFonts w:hint="eastAsia" w:ascii="宋体" w:hAnsi="宋体"/>
          <w:b w:val="0"/>
          <w:bCs w:val="0"/>
          <w:i/>
          <w:u w:val="single"/>
          <w:lang w:val="en-US" w:eastAsia="zh-CN"/>
        </w:rPr>
        <w:t>4、</w:t>
      </w:r>
      <w:r>
        <w:rPr>
          <w:rFonts w:hint="eastAsia" w:ascii="宋体" w:hAnsi="宋体" w:eastAsia="宋体" w:cs="Times New Roman"/>
          <w:i/>
          <w:color w:val="auto"/>
          <w:kern w:val="2"/>
          <w:sz w:val="21"/>
          <w:szCs w:val="22"/>
          <w:u w:val="single"/>
          <w:lang w:val="en-US" w:eastAsia="zh-CN" w:bidi="ar-SA"/>
        </w:rPr>
        <w:t>具有履行合同所必需的设备和专业技术能力（根据项目需求提供履行合同所必需的设备和专业技术能力的证明材料或承诺函）</w:t>
      </w:r>
      <w:r>
        <w:rPr>
          <w:rFonts w:hint="eastAsia" w:ascii="宋体" w:hAnsi="宋体" w:cs="Times New Roman"/>
          <w:i/>
          <w:color w:val="auto"/>
          <w:kern w:val="2"/>
          <w:sz w:val="21"/>
          <w:szCs w:val="22"/>
          <w:u w:val="single"/>
          <w:lang w:val="en-US" w:eastAsia="zh-CN" w:bidi="ar-SA"/>
        </w:rPr>
        <w:t>。</w:t>
      </w:r>
      <w:r>
        <w:rPr>
          <w:rFonts w:hint="eastAsia" w:ascii="宋体" w:hAnsi="宋体" w:eastAsia="宋体" w:cs="Times New Roman"/>
          <w:i/>
          <w:color w:val="auto"/>
          <w:kern w:val="2"/>
          <w:sz w:val="21"/>
          <w:szCs w:val="22"/>
          <w:u w:val="single"/>
          <w:lang w:val="en-US" w:eastAsia="zh-CN" w:bidi="ar-SA"/>
        </w:rPr>
        <w:t xml:space="preserve"> </w:t>
      </w:r>
    </w:p>
    <w:p>
      <w:pPr>
        <w:spacing w:line="360" w:lineRule="auto"/>
        <w:ind w:firstLine="420" w:firstLineChars="200"/>
        <w:rPr>
          <w:rFonts w:hint="default" w:ascii="宋体" w:hAnsi="宋体" w:eastAsia="宋体"/>
          <w:b/>
          <w:highlight w:val="none"/>
          <w:lang w:val="en-US" w:eastAsia="zh-CN"/>
        </w:rPr>
      </w:pPr>
      <w:r>
        <w:rPr>
          <w:rFonts w:hint="eastAsia" w:ascii="宋体" w:hAnsi="宋体"/>
          <w:highlight w:val="none"/>
        </w:rPr>
        <w:t>（二）采购人根据本项目要求规定的特定条件：</w:t>
      </w:r>
      <w:r>
        <w:rPr>
          <w:rFonts w:hint="eastAsia" w:ascii="宋体" w:hAnsi="宋体"/>
          <w:b/>
          <w:highlight w:val="none"/>
          <w:lang w:val="en-US" w:eastAsia="zh-CN"/>
        </w:rPr>
        <w:t>无</w:t>
      </w:r>
    </w:p>
    <w:p>
      <w:pPr>
        <w:spacing w:line="360" w:lineRule="auto"/>
        <w:ind w:firstLine="420" w:firstLineChars="200"/>
        <w:rPr>
          <w:rFonts w:hint="eastAsia" w:ascii="宋体" w:hAnsi="宋体"/>
          <w:szCs w:val="21"/>
        </w:rPr>
      </w:pPr>
      <w:r>
        <w:rPr>
          <w:rFonts w:hint="eastAsia" w:ascii="宋体" w:hAnsi="宋体"/>
          <w:szCs w:val="21"/>
        </w:rPr>
        <w:t>（三）拒绝下述供应商参加本次采购活动：</w:t>
      </w:r>
    </w:p>
    <w:p>
      <w:pPr>
        <w:spacing w:line="360" w:lineRule="auto"/>
        <w:ind w:firstLine="420" w:firstLineChars="200"/>
        <w:rPr>
          <w:rFonts w:hint="eastAsia" w:ascii="宋体" w:hAnsi="宋体"/>
          <w:szCs w:val="21"/>
        </w:rPr>
      </w:pPr>
      <w:r>
        <w:rPr>
          <w:rFonts w:hint="eastAsia" w:ascii="宋体" w:hAnsi="宋体"/>
          <w:szCs w:val="21"/>
        </w:rPr>
        <w:t>（1）供应商单位负责人为同一人或者存在直接控股、管理关系的不同供应商，不得参加同一合同项下的采购活动；</w:t>
      </w:r>
    </w:p>
    <w:p>
      <w:pPr>
        <w:spacing w:line="360" w:lineRule="auto"/>
        <w:ind w:firstLine="420" w:firstLineChars="200"/>
        <w:rPr>
          <w:rFonts w:hint="eastAsia" w:ascii="宋体" w:hAnsi="宋体"/>
          <w:szCs w:val="21"/>
        </w:rPr>
      </w:pPr>
      <w:r>
        <w:rPr>
          <w:rFonts w:hint="eastAsia" w:ascii="宋体" w:hAnsi="宋体"/>
          <w:szCs w:val="21"/>
        </w:rPr>
        <w:t>（2）凡为采购项目提供整体设计、规范编制或者项目管理、监理、检测等服务的供应商，不得再参加该项目的其他采购活动。</w:t>
      </w:r>
    </w:p>
    <w:p>
      <w:pPr>
        <w:spacing w:line="360" w:lineRule="auto"/>
        <w:ind w:firstLine="420" w:firstLineChars="200"/>
        <w:rPr>
          <w:rFonts w:hint="eastAsia" w:ascii="宋体" w:hAnsi="宋体"/>
          <w:szCs w:val="21"/>
        </w:rPr>
      </w:pPr>
      <w:r>
        <w:rPr>
          <w:rFonts w:hint="eastAsia" w:ascii="宋体" w:hAnsi="宋体"/>
          <w:szCs w:val="21"/>
        </w:rPr>
        <w:t>（3）供应商被“信用中国”网站（www.creditchina.gov.cn）、“中国政府采购网</w:t>
      </w:r>
      <w:r>
        <w:rPr>
          <w:rFonts w:ascii="宋体" w:hAnsi="宋体"/>
          <w:szCs w:val="21"/>
        </w:rPr>
        <w:t>”</w:t>
      </w:r>
      <w:r>
        <w:rPr>
          <w:rFonts w:hint="eastAsia" w:ascii="宋体" w:hAnsi="宋体"/>
          <w:szCs w:val="21"/>
        </w:rPr>
        <w:t>(www.ccgp.gov.cn)列入失信被执行人、重大税收违法案件当事人名单、政府采购严重违法失信行为记录名单。</w:t>
      </w:r>
    </w:p>
    <w:p>
      <w:pPr>
        <w:spacing w:line="360" w:lineRule="auto"/>
        <w:ind w:firstLine="420" w:firstLineChars="200"/>
        <w:rPr>
          <w:rFonts w:hint="eastAsia" w:ascii="宋体" w:hAnsi="宋体" w:cs="Arial"/>
          <w:szCs w:val="21"/>
          <w:highlight w:val="none"/>
        </w:rPr>
      </w:pPr>
      <w:r>
        <w:rPr>
          <w:rFonts w:hint="eastAsia" w:ascii="宋体" w:hAnsi="宋体" w:cs="Arial"/>
          <w:szCs w:val="21"/>
        </w:rPr>
        <w:t>（</w:t>
      </w:r>
      <w:r>
        <w:rPr>
          <w:rFonts w:hint="eastAsia" w:ascii="宋体" w:hAnsi="宋体" w:cs="Arial"/>
          <w:szCs w:val="21"/>
          <w:highlight w:val="none"/>
        </w:rPr>
        <w:t>四）</w:t>
      </w:r>
      <w:r>
        <w:rPr>
          <w:rFonts w:hint="eastAsia" w:ascii="宋体" w:hAnsi="宋体" w:cs="Arial"/>
          <w:szCs w:val="21"/>
          <w:highlight w:val="none"/>
          <w:lang w:val="en-US" w:eastAsia="zh-CN"/>
        </w:rPr>
        <w:t>现场勘查</w:t>
      </w:r>
      <w:r>
        <w:rPr>
          <w:rFonts w:hint="eastAsia" w:ascii="宋体" w:hAnsi="宋体" w:cs="Arial"/>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本项目不组织集中考察、答疑，如需现场勘察的，需持身份证复印件</w:t>
      </w:r>
      <w:r>
        <w:rPr>
          <w:rFonts w:hint="eastAsia" w:ascii="宋体" w:hAnsi="宋体" w:eastAsia="宋体" w:cs="宋体"/>
          <w:sz w:val="21"/>
          <w:szCs w:val="21"/>
          <w:lang w:eastAsia="zh-CN"/>
        </w:rPr>
        <w:t>、营业执照复印件</w:t>
      </w:r>
      <w:r>
        <w:rPr>
          <w:rFonts w:hint="eastAsia" w:ascii="宋体" w:hAnsi="宋体" w:cs="宋体"/>
          <w:sz w:val="21"/>
          <w:szCs w:val="21"/>
          <w:lang w:eastAsia="zh-CN"/>
        </w:rPr>
        <w:t>、</w:t>
      </w:r>
      <w:r>
        <w:rPr>
          <w:rFonts w:hint="eastAsia" w:ascii="宋体" w:hAnsi="宋体" w:cs="宋体"/>
          <w:sz w:val="21"/>
          <w:szCs w:val="21"/>
          <w:lang w:val="en-US" w:eastAsia="zh-CN"/>
        </w:rPr>
        <w:t>48小时核酸阴性检测报告</w:t>
      </w:r>
      <w:r>
        <w:rPr>
          <w:rFonts w:hint="eastAsia" w:ascii="宋体" w:hAnsi="宋体" w:eastAsia="宋体" w:cs="宋体"/>
          <w:sz w:val="21"/>
          <w:szCs w:val="21"/>
        </w:rPr>
        <w:t>签到出席。各供应商请务必对现场进行仔细认真勘察，须充分了解本项目，在随后的采购活动中，对现场资料和数据所作出的推论、解释和结论及因勘察不到位造成的后果由供应商负责，并自行承担因了解不充分而影响报价准确性的风险。</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现场勘察时间：2022年6月</w:t>
      </w:r>
      <w:r>
        <w:rPr>
          <w:rFonts w:hint="eastAsia" w:ascii="宋体" w:hAnsi="宋体" w:eastAsia="宋体" w:cs="宋体"/>
          <w:sz w:val="21"/>
          <w:szCs w:val="21"/>
          <w:lang w:val="en-US" w:eastAsia="zh-CN"/>
        </w:rPr>
        <w:t>6</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-2022年6月9日 </w:t>
      </w:r>
      <w:r>
        <w:rPr>
          <w:rFonts w:hint="eastAsia" w:ascii="宋体" w:hAnsi="宋体" w:eastAsia="宋体" w:cs="宋体"/>
          <w:sz w:val="21"/>
          <w:szCs w:val="21"/>
        </w:rPr>
        <w:t>上午8:30-11:00、下午14:00-16:30 过时不候，提前电联。</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现场勘察地点：江苏汽车技师学院广陵校区扬霍路1号</w:t>
      </w:r>
    </w:p>
    <w:p>
      <w:pPr>
        <w:spacing w:line="360" w:lineRule="auto"/>
        <w:ind w:firstLine="420" w:firstLineChars="200"/>
        <w:rPr>
          <w:rFonts w:hint="eastAsia" w:ascii="宋体" w:hAnsi="宋体" w:cs="Arial"/>
          <w:color w:val="000000"/>
          <w:szCs w:val="21"/>
          <w:highlight w:val="none"/>
          <w:lang w:val="en-US" w:eastAsia="zh-CN"/>
        </w:rPr>
      </w:pPr>
      <w:r>
        <w:rPr>
          <w:rFonts w:hint="eastAsia" w:ascii="宋体" w:hAnsi="宋体" w:cs="Arial"/>
          <w:color w:val="000000"/>
          <w:szCs w:val="21"/>
          <w:highlight w:val="none"/>
        </w:rPr>
        <w:t>现场勘察联系人：</w:t>
      </w:r>
      <w:r>
        <w:rPr>
          <w:rFonts w:hint="eastAsia" w:ascii="宋体" w:hAnsi="宋体" w:cs="Arial"/>
          <w:color w:val="000000"/>
          <w:szCs w:val="21"/>
          <w:highlight w:val="none"/>
          <w:lang w:eastAsia="zh-CN"/>
        </w:rPr>
        <w:t>郁老师</w:t>
      </w:r>
      <w:r>
        <w:rPr>
          <w:rFonts w:hint="eastAsia" w:ascii="宋体" w:hAnsi="宋体" w:cs="Arial"/>
          <w:color w:val="000000"/>
          <w:szCs w:val="21"/>
          <w:highlight w:val="none"/>
        </w:rPr>
        <w:t>  联系电话：</w:t>
      </w:r>
      <w:r>
        <w:rPr>
          <w:rFonts w:hint="eastAsia" w:ascii="宋体" w:hAnsi="宋体" w:cs="Arial"/>
          <w:color w:val="000000"/>
          <w:szCs w:val="21"/>
          <w:highlight w:val="none"/>
          <w:lang w:val="en-US" w:eastAsia="zh-CN"/>
        </w:rPr>
        <w:t>13813192149</w:t>
      </w:r>
    </w:p>
    <w:p>
      <w:pPr>
        <w:numPr>
          <w:ilvl w:val="0"/>
          <w:numId w:val="1"/>
        </w:numPr>
        <w:spacing w:line="360" w:lineRule="auto"/>
        <w:ind w:firstLine="420" w:firstLineChars="200"/>
        <w:rPr>
          <w:rFonts w:hint="eastAsia"/>
        </w:rPr>
      </w:pPr>
      <w:r>
        <w:rPr>
          <w:rFonts w:hint="eastAsia" w:ascii="仿宋_GB2312" w:hAnsi="宋体" w:cs="Arial"/>
          <w:szCs w:val="21"/>
        </w:rPr>
        <w:t>本项目</w:t>
      </w:r>
      <w:r>
        <w:rPr>
          <w:rFonts w:hint="eastAsia" w:ascii="宋体" w:hAnsi="宋体"/>
          <w:szCs w:val="21"/>
          <w:u w:val="single"/>
        </w:rPr>
        <w:t>不接受</w:t>
      </w:r>
      <w:r>
        <w:rPr>
          <w:rFonts w:hint="eastAsia" w:ascii="仿宋_GB2312" w:hAnsi="宋体" w:cs="Arial"/>
          <w:szCs w:val="21"/>
        </w:rPr>
        <w:t>联合体投标。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b/>
          <w:color w:val="000000"/>
          <w:szCs w:val="21"/>
        </w:rPr>
      </w:pPr>
      <w:r>
        <w:rPr>
          <w:rFonts w:hint="eastAsia" w:ascii="宋体" w:hAnsi="宋体"/>
          <w:b/>
          <w:color w:val="000000"/>
          <w:szCs w:val="21"/>
          <w:lang w:eastAsia="zh-CN"/>
        </w:rPr>
        <w:t>四、谈判方式及谈判文件的组成</w:t>
      </w:r>
    </w:p>
    <w:p>
      <w:pPr>
        <w:pStyle w:val="2"/>
        <w:ind w:firstLine="396" w:firstLineChars="200"/>
        <w:rPr>
          <w:rFonts w:hint="eastAsia" w:ascii="宋体" w:hAnsi="宋体" w:eastAsia="宋体" w:cs="Times New Roman"/>
          <w:bCs w:val="0"/>
          <w:spacing w:val="-6"/>
          <w:kern w:val="2"/>
          <w:sz w:val="21"/>
          <w:szCs w:val="21"/>
          <w:highlight w:val="none"/>
          <w:lang w:val="en-US" w:eastAsia="zh-CN" w:bidi="ar-SA"/>
        </w:rPr>
      </w:pPr>
      <w:r>
        <w:rPr>
          <w:rFonts w:hint="eastAsia" w:ascii="宋体" w:hAnsi="宋体" w:eastAsia="宋体" w:cs="Times New Roman"/>
          <w:bCs w:val="0"/>
          <w:spacing w:val="-6"/>
          <w:kern w:val="2"/>
          <w:sz w:val="21"/>
          <w:szCs w:val="21"/>
          <w:highlight w:val="none"/>
          <w:lang w:val="en-US" w:eastAsia="zh-CN" w:bidi="ar-SA"/>
        </w:rPr>
        <w:t>（一）本项目根据各投标供应商的充电收费报价、建设方案（包括车棚建设投入金额）进行横向对比，优胜者即为中标供应商。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96" w:firstLineChars="200"/>
        <w:textAlignment w:val="auto"/>
        <w:rPr>
          <w:rFonts w:hint="eastAsia" w:ascii="宋体" w:hAnsi="宋体" w:cs="Times New Roman"/>
          <w:bCs w:val="0"/>
          <w:spacing w:val="-6"/>
          <w:kern w:val="2"/>
          <w:sz w:val="21"/>
          <w:szCs w:val="21"/>
          <w:highlight w:val="none"/>
          <w:lang w:val="en-US" w:eastAsia="zh-CN" w:bidi="ar-SA"/>
        </w:rPr>
      </w:pPr>
      <w:r>
        <w:rPr>
          <w:rFonts w:hint="eastAsia" w:ascii="宋体" w:hAnsi="宋体" w:cs="Times New Roman"/>
          <w:bCs w:val="0"/>
          <w:spacing w:val="-6"/>
          <w:kern w:val="2"/>
          <w:sz w:val="21"/>
          <w:szCs w:val="21"/>
          <w:highlight w:val="none"/>
          <w:lang w:val="en-US" w:eastAsia="zh-CN" w:bidi="ar-SA"/>
        </w:rPr>
        <w:t>（二）谈判文件包括但不限于以下内容：</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96" w:firstLineChars="200"/>
        <w:textAlignment w:val="auto"/>
        <w:rPr>
          <w:rFonts w:hint="eastAsia" w:ascii="宋体" w:hAnsi="宋体" w:cs="Times New Roman"/>
          <w:bCs w:val="0"/>
          <w:spacing w:val="-6"/>
          <w:kern w:val="2"/>
          <w:sz w:val="21"/>
          <w:szCs w:val="21"/>
          <w:highlight w:val="none"/>
          <w:lang w:val="en-US" w:eastAsia="zh-CN" w:bidi="ar-SA"/>
        </w:rPr>
      </w:pPr>
      <w:r>
        <w:rPr>
          <w:rFonts w:hint="eastAsia" w:ascii="宋体" w:hAnsi="宋体" w:cs="Times New Roman"/>
          <w:bCs w:val="0"/>
          <w:spacing w:val="-6"/>
          <w:kern w:val="2"/>
          <w:sz w:val="21"/>
          <w:szCs w:val="21"/>
          <w:highlight w:val="none"/>
          <w:lang w:val="en-US" w:eastAsia="zh-CN" w:bidi="ar-SA"/>
        </w:rPr>
        <w:t>1、资格证明文件（第三项中的资格要求所需提供的材料）；</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96" w:firstLineChars="200"/>
        <w:textAlignment w:val="auto"/>
        <w:rPr>
          <w:rFonts w:hint="eastAsia" w:ascii="宋体" w:hAnsi="宋体" w:cs="Times New Roman"/>
          <w:bCs w:val="0"/>
          <w:spacing w:val="-6"/>
          <w:kern w:val="2"/>
          <w:sz w:val="21"/>
          <w:szCs w:val="21"/>
          <w:highlight w:val="none"/>
          <w:lang w:val="en-US" w:eastAsia="zh-CN" w:bidi="ar-SA"/>
        </w:rPr>
      </w:pPr>
      <w:r>
        <w:rPr>
          <w:rFonts w:hint="eastAsia" w:ascii="宋体" w:hAnsi="宋体" w:cs="Times New Roman"/>
          <w:bCs w:val="0"/>
          <w:spacing w:val="-6"/>
          <w:kern w:val="2"/>
          <w:sz w:val="21"/>
          <w:szCs w:val="21"/>
          <w:highlight w:val="none"/>
          <w:lang w:val="en-US" w:eastAsia="zh-CN" w:bidi="ar-SA"/>
        </w:rPr>
        <w:t>2、报价一览表；</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96" w:firstLineChars="200"/>
        <w:textAlignment w:val="auto"/>
        <w:rPr>
          <w:rFonts w:hint="eastAsia" w:ascii="宋体" w:hAnsi="宋体" w:cs="Times New Roman"/>
          <w:bCs w:val="0"/>
          <w:spacing w:val="-6"/>
          <w:kern w:val="2"/>
          <w:sz w:val="21"/>
          <w:szCs w:val="21"/>
          <w:highlight w:val="none"/>
          <w:lang w:val="en-US" w:eastAsia="zh-CN" w:bidi="ar-SA"/>
        </w:rPr>
      </w:pPr>
      <w:r>
        <w:rPr>
          <w:rFonts w:hint="eastAsia" w:ascii="宋体" w:hAnsi="宋体" w:cs="Times New Roman"/>
          <w:bCs w:val="0"/>
          <w:spacing w:val="-6"/>
          <w:kern w:val="2"/>
          <w:sz w:val="21"/>
          <w:szCs w:val="21"/>
          <w:highlight w:val="none"/>
          <w:lang w:val="en-US" w:eastAsia="zh-CN" w:bidi="ar-SA"/>
        </w:rPr>
        <w:t>3、建设方案（包含车棚建设投入金额）；</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96" w:firstLineChars="200"/>
        <w:textAlignment w:val="auto"/>
        <w:rPr>
          <w:rFonts w:hint="default"/>
          <w:lang w:val="en-US" w:eastAsia="zh-CN"/>
        </w:rPr>
      </w:pPr>
      <w:r>
        <w:rPr>
          <w:rFonts w:hint="eastAsia" w:ascii="宋体" w:hAnsi="宋体" w:cs="Times New Roman"/>
          <w:bCs w:val="0"/>
          <w:spacing w:val="-6"/>
          <w:kern w:val="2"/>
          <w:sz w:val="21"/>
          <w:szCs w:val="21"/>
          <w:highlight w:val="none"/>
          <w:lang w:val="en-US" w:eastAsia="zh-CN" w:bidi="ar-SA"/>
        </w:rPr>
        <w:t>4、响应偏离表。</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b/>
          <w:color w:val="000000"/>
          <w:szCs w:val="21"/>
        </w:rPr>
      </w:pPr>
      <w:r>
        <w:rPr>
          <w:rFonts w:hint="eastAsia" w:ascii="宋体" w:hAnsi="宋体"/>
          <w:b/>
          <w:color w:val="000000"/>
          <w:szCs w:val="21"/>
          <w:lang w:eastAsia="zh-CN"/>
        </w:rPr>
        <w:t>五</w:t>
      </w:r>
      <w:r>
        <w:rPr>
          <w:rFonts w:hint="eastAsia" w:ascii="宋体" w:hAnsi="宋体"/>
          <w:b/>
          <w:color w:val="000000"/>
          <w:szCs w:val="21"/>
        </w:rPr>
        <w:t>、</w:t>
      </w:r>
      <w:r>
        <w:rPr>
          <w:rFonts w:hint="eastAsia" w:ascii="宋体" w:hAnsi="宋体"/>
          <w:b/>
          <w:color w:val="000000"/>
          <w:szCs w:val="21"/>
          <w:lang w:eastAsia="zh-CN"/>
        </w:rPr>
        <w:t>谈判</w:t>
      </w:r>
      <w:r>
        <w:rPr>
          <w:rFonts w:hint="eastAsia" w:ascii="宋体" w:hAnsi="宋体"/>
          <w:b/>
          <w:color w:val="000000"/>
          <w:szCs w:val="21"/>
        </w:rPr>
        <w:t>文件接收截止时间和地点</w:t>
      </w:r>
    </w:p>
    <w:p>
      <w:pPr>
        <w:spacing w:line="360" w:lineRule="auto"/>
        <w:ind w:firstLine="420" w:firstLineChars="200"/>
        <w:rPr>
          <w:rFonts w:hint="eastAsia"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谈判</w:t>
      </w:r>
      <w:r>
        <w:rPr>
          <w:rFonts w:hint="eastAsia" w:ascii="宋体" w:hAnsi="宋体"/>
          <w:szCs w:val="21"/>
          <w:highlight w:val="none"/>
        </w:rPr>
        <w:t>文件接收开始时间：</w:t>
      </w:r>
      <w:r>
        <w:rPr>
          <w:rFonts w:ascii="宋体" w:hAnsi="宋体"/>
          <w:szCs w:val="21"/>
          <w:highlight w:val="none"/>
        </w:rPr>
        <w:t>20</w:t>
      </w:r>
      <w:r>
        <w:rPr>
          <w:rFonts w:hint="eastAsia" w:ascii="宋体" w:hAnsi="宋体"/>
          <w:szCs w:val="21"/>
          <w:highlight w:val="none"/>
        </w:rPr>
        <w:t>2</w:t>
      </w:r>
      <w:r>
        <w:rPr>
          <w:rFonts w:hint="eastAsia" w:ascii="宋体" w:hAnsi="宋体"/>
          <w:szCs w:val="21"/>
          <w:highlight w:val="none"/>
          <w:lang w:val="en-US" w:eastAsia="zh-CN"/>
        </w:rPr>
        <w:t>2</w:t>
      </w:r>
      <w:r>
        <w:rPr>
          <w:rFonts w:ascii="宋体" w:hAnsi="宋体"/>
          <w:szCs w:val="21"/>
          <w:highlight w:val="none"/>
        </w:rPr>
        <w:t>年6</w:t>
      </w:r>
      <w:r>
        <w:rPr>
          <w:rFonts w:hint="eastAsia" w:ascii="宋体" w:hAnsi="宋体"/>
          <w:szCs w:val="21"/>
          <w:highlight w:val="none"/>
        </w:rPr>
        <w:t>月</w:t>
      </w:r>
      <w:r>
        <w:rPr>
          <w:rFonts w:hint="eastAsia" w:ascii="宋体" w:hAnsi="宋体"/>
          <w:szCs w:val="21"/>
          <w:highlight w:val="none"/>
          <w:lang w:val="en-US" w:eastAsia="zh-CN"/>
        </w:rPr>
        <w:t>10</w:t>
      </w:r>
      <w:r>
        <w:rPr>
          <w:rFonts w:ascii="宋体" w:hAnsi="宋体"/>
          <w:szCs w:val="21"/>
          <w:highlight w:val="none"/>
        </w:rPr>
        <w:t>日</w:t>
      </w:r>
      <w:r>
        <w:rPr>
          <w:rFonts w:hint="eastAsia" w:ascii="宋体" w:hAnsi="宋体"/>
          <w:szCs w:val="21"/>
          <w:highlight w:val="none"/>
        </w:rPr>
        <w:t>上午</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0（北京时间）</w:t>
      </w:r>
    </w:p>
    <w:p>
      <w:pPr>
        <w:spacing w:line="360" w:lineRule="auto"/>
        <w:ind w:firstLine="420" w:firstLineChars="200"/>
        <w:rPr>
          <w:rFonts w:hint="eastAsia"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谈判</w:t>
      </w:r>
      <w:r>
        <w:rPr>
          <w:rFonts w:hint="eastAsia" w:ascii="宋体" w:hAnsi="宋体"/>
          <w:szCs w:val="21"/>
          <w:highlight w:val="none"/>
        </w:rPr>
        <w:t>文件接收截止时间：</w:t>
      </w:r>
      <w:r>
        <w:rPr>
          <w:rFonts w:ascii="宋体" w:hAnsi="宋体"/>
          <w:szCs w:val="21"/>
          <w:highlight w:val="none"/>
        </w:rPr>
        <w:t>20</w:t>
      </w:r>
      <w:r>
        <w:rPr>
          <w:rFonts w:hint="eastAsia" w:ascii="宋体" w:hAnsi="宋体"/>
          <w:szCs w:val="21"/>
          <w:highlight w:val="none"/>
        </w:rPr>
        <w:t>2</w:t>
      </w:r>
      <w:r>
        <w:rPr>
          <w:rFonts w:hint="eastAsia" w:ascii="宋体" w:hAnsi="宋体"/>
          <w:szCs w:val="21"/>
          <w:highlight w:val="none"/>
          <w:lang w:val="en-US" w:eastAsia="zh-CN"/>
        </w:rPr>
        <w:t>2</w:t>
      </w:r>
      <w:r>
        <w:rPr>
          <w:rFonts w:ascii="宋体" w:hAnsi="宋体"/>
          <w:szCs w:val="21"/>
          <w:highlight w:val="none"/>
        </w:rPr>
        <w:t>年</w:t>
      </w:r>
      <w:r>
        <w:rPr>
          <w:rFonts w:hint="eastAsia" w:ascii="宋体" w:hAnsi="宋体"/>
          <w:szCs w:val="21"/>
          <w:highlight w:val="none"/>
        </w:rPr>
        <w:t>6月</w:t>
      </w:r>
      <w:r>
        <w:rPr>
          <w:rFonts w:hint="eastAsia" w:ascii="宋体" w:hAnsi="宋体"/>
          <w:szCs w:val="21"/>
          <w:highlight w:val="none"/>
          <w:lang w:val="en-US" w:eastAsia="zh-CN"/>
        </w:rPr>
        <w:t>10</w:t>
      </w:r>
      <w:r>
        <w:rPr>
          <w:rFonts w:ascii="宋体" w:hAnsi="宋体"/>
          <w:szCs w:val="21"/>
          <w:highlight w:val="none"/>
        </w:rPr>
        <w:t>日</w:t>
      </w:r>
      <w:r>
        <w:rPr>
          <w:rFonts w:hint="eastAsia" w:ascii="宋体" w:hAnsi="宋体"/>
          <w:szCs w:val="21"/>
          <w:highlight w:val="none"/>
        </w:rPr>
        <w:t>上午</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0（北京时间）逾期送达将作无效响应处理</w:t>
      </w:r>
    </w:p>
    <w:p>
      <w:pPr>
        <w:spacing w:line="360" w:lineRule="auto"/>
        <w:ind w:firstLine="396" w:firstLineChars="200"/>
        <w:rPr>
          <w:rFonts w:ascii="宋体" w:hAnsi="宋体"/>
          <w:szCs w:val="21"/>
          <w:highlight w:val="none"/>
        </w:rPr>
      </w:pPr>
      <w:r>
        <w:rPr>
          <w:rFonts w:hint="eastAsia" w:ascii="宋体" w:hAnsi="宋体"/>
          <w:spacing w:val="-6"/>
          <w:szCs w:val="21"/>
          <w:highlight w:val="none"/>
        </w:rPr>
        <w:t>（三）</w:t>
      </w:r>
      <w:r>
        <w:rPr>
          <w:rFonts w:hint="eastAsia" w:ascii="宋体" w:hAnsi="宋体"/>
          <w:spacing w:val="-6"/>
          <w:szCs w:val="21"/>
          <w:highlight w:val="none"/>
          <w:lang w:eastAsia="zh-CN"/>
        </w:rPr>
        <w:t>谈判</w:t>
      </w:r>
      <w:r>
        <w:rPr>
          <w:rFonts w:hint="eastAsia" w:ascii="宋体" w:hAnsi="宋体"/>
          <w:spacing w:val="-6"/>
          <w:szCs w:val="21"/>
          <w:highlight w:val="none"/>
        </w:rPr>
        <w:t>文件接收地点：</w:t>
      </w:r>
      <w:r>
        <w:rPr>
          <w:rFonts w:hint="eastAsia" w:ascii="宋体" w:hAnsi="宋体"/>
          <w:szCs w:val="21"/>
          <w:highlight w:val="none"/>
        </w:rPr>
        <w:t>江苏汽车</w:t>
      </w:r>
      <w:r>
        <w:rPr>
          <w:rFonts w:ascii="宋体" w:hAnsi="宋体"/>
          <w:szCs w:val="21"/>
          <w:highlight w:val="none"/>
        </w:rPr>
        <w:t>技师学院</w:t>
      </w:r>
      <w:r>
        <w:rPr>
          <w:rFonts w:hint="eastAsia" w:ascii="宋体" w:hAnsi="宋体"/>
          <w:szCs w:val="21"/>
          <w:highlight w:val="none"/>
          <w:lang w:val="en-US" w:eastAsia="zh-CN"/>
        </w:rPr>
        <w:t>校门口西北角报名大厅</w:t>
      </w:r>
      <w:r>
        <w:rPr>
          <w:rFonts w:ascii="宋体" w:hAnsi="宋体"/>
          <w:szCs w:val="21"/>
          <w:highlight w:val="none"/>
        </w:rPr>
        <w:t>（</w:t>
      </w:r>
      <w:r>
        <w:rPr>
          <w:rFonts w:hint="eastAsia" w:ascii="宋体" w:hAnsi="宋体"/>
          <w:szCs w:val="21"/>
          <w:highlight w:val="none"/>
        </w:rPr>
        <w:t>扬州市</w:t>
      </w:r>
      <w:r>
        <w:rPr>
          <w:rFonts w:ascii="宋体" w:hAnsi="宋体"/>
          <w:szCs w:val="21"/>
          <w:highlight w:val="none"/>
        </w:rPr>
        <w:t>广陵区扬霍路</w:t>
      </w:r>
      <w:r>
        <w:rPr>
          <w:rFonts w:hint="eastAsia" w:ascii="宋体" w:hAnsi="宋体"/>
          <w:szCs w:val="21"/>
          <w:highlight w:val="none"/>
        </w:rPr>
        <w:t>1号</w:t>
      </w:r>
      <w:r>
        <w:rPr>
          <w:rFonts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（四）</w:t>
      </w:r>
      <w:r>
        <w:rPr>
          <w:rFonts w:hint="eastAsia" w:ascii="宋体" w:hAnsi="宋体"/>
          <w:szCs w:val="21"/>
          <w:highlight w:val="none"/>
          <w:lang w:eastAsia="zh-CN"/>
        </w:rPr>
        <w:t>谈判</w:t>
      </w:r>
      <w:r>
        <w:rPr>
          <w:rFonts w:hint="eastAsia" w:ascii="宋体" w:hAnsi="宋体"/>
          <w:szCs w:val="21"/>
          <w:highlight w:val="none"/>
        </w:rPr>
        <w:t>响应文件接收人：张老师</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b/>
          <w:color w:val="000000"/>
          <w:szCs w:val="21"/>
        </w:rPr>
      </w:pPr>
      <w:r>
        <w:rPr>
          <w:rFonts w:hint="eastAsia" w:ascii="宋体" w:hAnsi="宋体"/>
          <w:b/>
          <w:color w:val="000000"/>
          <w:szCs w:val="21"/>
          <w:lang w:eastAsia="zh-CN"/>
        </w:rPr>
        <w:t>六</w:t>
      </w:r>
      <w:r>
        <w:rPr>
          <w:rFonts w:hint="eastAsia" w:ascii="宋体" w:hAnsi="宋体"/>
          <w:b/>
          <w:color w:val="000000"/>
          <w:szCs w:val="21"/>
        </w:rPr>
        <w:t>、</w:t>
      </w:r>
      <w:r>
        <w:rPr>
          <w:rFonts w:hint="eastAsia" w:ascii="宋体" w:hAnsi="宋体"/>
          <w:b/>
          <w:color w:val="000000"/>
          <w:szCs w:val="21"/>
          <w:lang w:eastAsia="zh-CN"/>
        </w:rPr>
        <w:t>谈判</w:t>
      </w:r>
      <w:r>
        <w:rPr>
          <w:rFonts w:hint="eastAsia" w:ascii="宋体" w:hAnsi="宋体"/>
          <w:b/>
          <w:color w:val="000000"/>
          <w:szCs w:val="21"/>
        </w:rPr>
        <w:t>文件开启信息</w:t>
      </w:r>
    </w:p>
    <w:p>
      <w:pPr>
        <w:spacing w:line="360" w:lineRule="auto"/>
        <w:ind w:firstLine="630" w:firstLineChars="300"/>
        <w:rPr>
          <w:rFonts w:ascii="宋体" w:hAnsi="宋体"/>
          <w:szCs w:val="21"/>
          <w:highlight w:val="none"/>
        </w:rPr>
      </w:pPr>
      <w:r>
        <w:rPr>
          <w:rFonts w:hint="eastAsia" w:ascii="宋体" w:hAnsi="宋体"/>
          <w:color w:val="000000"/>
          <w:szCs w:val="21"/>
          <w:highlight w:val="none"/>
          <w:lang w:eastAsia="zh-CN"/>
        </w:rPr>
        <w:t>谈判</w:t>
      </w:r>
      <w:r>
        <w:rPr>
          <w:rFonts w:hint="eastAsia" w:ascii="宋体" w:hAnsi="宋体"/>
          <w:color w:val="000000"/>
          <w:szCs w:val="21"/>
          <w:highlight w:val="none"/>
        </w:rPr>
        <w:t>文件开启时间：</w:t>
      </w:r>
      <w:r>
        <w:rPr>
          <w:rFonts w:ascii="宋体" w:hAnsi="宋体"/>
          <w:szCs w:val="21"/>
          <w:highlight w:val="none"/>
        </w:rPr>
        <w:t>20</w:t>
      </w:r>
      <w:r>
        <w:rPr>
          <w:rFonts w:hint="eastAsia" w:ascii="宋体" w:hAnsi="宋体"/>
          <w:szCs w:val="21"/>
          <w:highlight w:val="none"/>
        </w:rPr>
        <w:t>2</w:t>
      </w:r>
      <w:r>
        <w:rPr>
          <w:rFonts w:hint="eastAsia" w:ascii="宋体" w:hAnsi="宋体"/>
          <w:szCs w:val="21"/>
          <w:highlight w:val="none"/>
          <w:lang w:val="en-US" w:eastAsia="zh-CN"/>
        </w:rPr>
        <w:t>2</w:t>
      </w:r>
      <w:r>
        <w:rPr>
          <w:rFonts w:ascii="宋体" w:hAnsi="宋体"/>
          <w:szCs w:val="21"/>
          <w:highlight w:val="none"/>
        </w:rPr>
        <w:t>年6</w:t>
      </w:r>
      <w:r>
        <w:rPr>
          <w:rFonts w:hint="eastAsia" w:ascii="宋体" w:hAnsi="宋体"/>
          <w:szCs w:val="21"/>
          <w:highlight w:val="none"/>
        </w:rPr>
        <w:t>月</w:t>
      </w:r>
      <w:r>
        <w:rPr>
          <w:rFonts w:hint="eastAsia" w:ascii="宋体" w:hAnsi="宋体"/>
          <w:szCs w:val="21"/>
          <w:highlight w:val="none"/>
          <w:lang w:val="en-US" w:eastAsia="zh-CN"/>
        </w:rPr>
        <w:t>10</w:t>
      </w:r>
      <w:r>
        <w:rPr>
          <w:rFonts w:ascii="宋体" w:hAnsi="宋体"/>
          <w:szCs w:val="21"/>
          <w:highlight w:val="none"/>
        </w:rPr>
        <w:t>日</w:t>
      </w:r>
      <w:r>
        <w:rPr>
          <w:rFonts w:hint="eastAsia" w:ascii="宋体" w:hAnsi="宋体"/>
          <w:szCs w:val="21"/>
          <w:highlight w:val="none"/>
        </w:rPr>
        <w:t>上午</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0（北京时间）</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b/>
          <w:color w:val="000000"/>
          <w:szCs w:val="21"/>
        </w:rPr>
      </w:pPr>
      <w:r>
        <w:rPr>
          <w:rFonts w:hint="eastAsia" w:ascii="宋体" w:hAnsi="宋体"/>
          <w:b/>
          <w:color w:val="000000"/>
          <w:szCs w:val="21"/>
          <w:lang w:eastAsia="zh-CN"/>
        </w:rPr>
        <w:t>七</w:t>
      </w:r>
      <w:r>
        <w:rPr>
          <w:rFonts w:hint="eastAsia" w:ascii="宋体" w:hAnsi="宋体"/>
          <w:b/>
          <w:color w:val="000000"/>
          <w:szCs w:val="21"/>
        </w:rPr>
        <w:t>、</w:t>
      </w:r>
      <w:r>
        <w:rPr>
          <w:rFonts w:hint="eastAsia" w:ascii="宋体" w:hAnsi="宋体"/>
          <w:b/>
          <w:color w:val="000000"/>
          <w:szCs w:val="21"/>
          <w:lang w:eastAsia="zh-CN"/>
        </w:rPr>
        <w:t>谈判</w:t>
      </w:r>
      <w:r>
        <w:rPr>
          <w:rFonts w:hint="eastAsia" w:ascii="宋体" w:hAnsi="宋体"/>
          <w:b/>
          <w:color w:val="000000"/>
          <w:szCs w:val="21"/>
        </w:rPr>
        <w:t>联系事项</w:t>
      </w:r>
    </w:p>
    <w:p>
      <w:pPr>
        <w:spacing w:line="360" w:lineRule="auto"/>
        <w:ind w:firstLine="630" w:firstLineChars="300"/>
        <w:rPr>
          <w:rFonts w:ascii="宋体" w:hAnsi="宋体"/>
          <w:color w:val="000000"/>
          <w:szCs w:val="21"/>
        </w:rPr>
      </w:pPr>
      <w:r>
        <w:rPr>
          <w:rFonts w:hint="eastAsia" w:ascii="宋体" w:hAnsi="宋体"/>
          <w:color w:val="000000"/>
          <w:szCs w:val="21"/>
        </w:rPr>
        <w:t>联系人:张老师         联系</w:t>
      </w:r>
      <w:r>
        <w:rPr>
          <w:rFonts w:ascii="宋体" w:hAnsi="宋体"/>
          <w:color w:val="000000"/>
          <w:szCs w:val="21"/>
        </w:rPr>
        <w:t>电话：</w:t>
      </w:r>
      <w:r>
        <w:rPr>
          <w:rFonts w:hint="eastAsia" w:ascii="宋体" w:hAnsi="宋体"/>
          <w:color w:val="000000"/>
          <w:szCs w:val="21"/>
        </w:rPr>
        <w:t>0</w:t>
      </w:r>
      <w:r>
        <w:rPr>
          <w:rFonts w:ascii="宋体" w:hAnsi="宋体"/>
          <w:color w:val="000000"/>
          <w:szCs w:val="21"/>
        </w:rPr>
        <w:t>514-87203899</w:t>
      </w:r>
    </w:p>
    <w:p>
      <w:pPr>
        <w:spacing w:line="360" w:lineRule="auto"/>
        <w:ind w:firstLine="630" w:firstLineChars="300"/>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lang w:eastAsia="zh-CN"/>
        </w:rPr>
        <w:t>扬州市</w:t>
      </w:r>
      <w:r>
        <w:rPr>
          <w:rFonts w:hint="eastAsia" w:ascii="宋体" w:hAnsi="宋体"/>
          <w:color w:val="000000"/>
          <w:szCs w:val="21"/>
        </w:rPr>
        <w:t>广陵区扬霍路1</w:t>
      </w:r>
      <w:r>
        <w:rPr>
          <w:rFonts w:hint="eastAsia" w:ascii="宋体" w:hAnsi="宋体"/>
          <w:color w:val="000000"/>
          <w:szCs w:val="21"/>
          <w:lang w:eastAsia="zh-CN"/>
        </w:rPr>
        <w:t>号</w:t>
      </w:r>
      <w:r>
        <w:rPr>
          <w:rFonts w:hint="eastAsia" w:ascii="宋体" w:hAnsi="宋体"/>
          <w:color w:val="000000"/>
          <w:szCs w:val="21"/>
        </w:rPr>
        <w:t>江苏汽车技师学院</w:t>
      </w:r>
    </w:p>
    <w:p>
      <w:pPr>
        <w:spacing w:line="360" w:lineRule="auto"/>
        <w:jc w:val="right"/>
        <w:rPr>
          <w:rFonts w:ascii="宋体" w:hAnsi="宋体" w:cs="Arial"/>
          <w:szCs w:val="21"/>
        </w:rPr>
      </w:pPr>
    </w:p>
    <w:p>
      <w:pPr>
        <w:pStyle w:val="13"/>
      </w:pPr>
    </w:p>
    <w:p>
      <w:pPr>
        <w:spacing w:line="360" w:lineRule="auto"/>
        <w:jc w:val="right"/>
        <w:rPr>
          <w:rFonts w:ascii="宋体" w:hAnsi="宋体" w:cs="Arial"/>
          <w:szCs w:val="21"/>
        </w:rPr>
      </w:pPr>
    </w:p>
    <w:p>
      <w:pPr>
        <w:spacing w:line="360" w:lineRule="auto"/>
        <w:jc w:val="right"/>
        <w:rPr>
          <w:rFonts w:ascii="宋体" w:hAnsi="宋体" w:cs="Arial"/>
          <w:szCs w:val="21"/>
        </w:rPr>
      </w:pPr>
    </w:p>
    <w:p>
      <w:pPr>
        <w:sectPr>
          <w:headerReference r:id="rId3" w:type="default"/>
          <w:footerReference r:id="rId4" w:type="default"/>
          <w:pgSz w:w="11906" w:h="16838"/>
          <w:pgMar w:top="1560" w:right="1134" w:bottom="1276" w:left="1134" w:header="907" w:footer="992" w:gutter="0"/>
          <w:cols w:space="720" w:num="1"/>
          <w:docGrid w:linePitch="312" w:charSpace="0"/>
        </w:sectPr>
      </w:pPr>
    </w:p>
    <w:p>
      <w:pPr>
        <w:widowControl/>
        <w:snapToGrid w:val="0"/>
        <w:spacing w:before="19" w:line="500" w:lineRule="exact"/>
        <w:jc w:val="center"/>
        <w:rPr>
          <w:rFonts w:hint="eastAsia" w:ascii="宋体" w:hAnsi="宋体" w:eastAsia="宋体" w:cs="宋体"/>
          <w:b/>
          <w:kern w:val="44"/>
          <w:sz w:val="36"/>
          <w:szCs w:val="36"/>
          <w:lang w:eastAsia="zh-CN"/>
        </w:rPr>
      </w:pPr>
      <w:bookmarkStart w:id="0" w:name="_Toc11711"/>
      <w:r>
        <w:rPr>
          <w:rFonts w:hint="eastAsia" w:ascii="宋体" w:hAnsi="宋体" w:cs="宋体"/>
          <w:b/>
          <w:kern w:val="44"/>
          <w:sz w:val="36"/>
          <w:szCs w:val="36"/>
        </w:rPr>
        <w:t>第</w:t>
      </w:r>
      <w:r>
        <w:rPr>
          <w:rFonts w:hint="eastAsia" w:ascii="宋体" w:hAnsi="宋体" w:cs="宋体"/>
          <w:b/>
          <w:kern w:val="44"/>
          <w:sz w:val="36"/>
          <w:szCs w:val="36"/>
          <w:lang w:eastAsia="zh-CN"/>
        </w:rPr>
        <w:t>二</w:t>
      </w:r>
      <w:r>
        <w:rPr>
          <w:rFonts w:hint="eastAsia" w:ascii="宋体" w:hAnsi="宋体" w:cs="宋体"/>
          <w:b/>
          <w:kern w:val="44"/>
          <w:sz w:val="36"/>
          <w:szCs w:val="36"/>
        </w:rPr>
        <w:t>章 项目</w:t>
      </w:r>
      <w:bookmarkEnd w:id="0"/>
      <w:r>
        <w:rPr>
          <w:rFonts w:hint="eastAsia" w:ascii="宋体" w:hAnsi="宋体" w:cs="宋体"/>
          <w:b/>
          <w:kern w:val="44"/>
          <w:sz w:val="36"/>
          <w:szCs w:val="36"/>
          <w:lang w:eastAsia="zh-CN"/>
        </w:rPr>
        <w:t>需求</w:t>
      </w:r>
    </w:p>
    <w:p>
      <w:pPr>
        <w:tabs>
          <w:tab w:val="left" w:pos="6930"/>
        </w:tabs>
        <w:autoSpaceDE w:val="0"/>
        <w:autoSpaceDN w:val="0"/>
        <w:adjustRightInd w:val="0"/>
        <w:spacing w:line="360" w:lineRule="auto"/>
        <w:rPr>
          <w:rFonts w:ascii="宋体" w:hAnsi="宋体"/>
          <w:color w:val="000000"/>
          <w:szCs w:val="21"/>
        </w:rPr>
      </w:pPr>
    </w:p>
    <w:p>
      <w:pPr>
        <w:spacing w:line="440" w:lineRule="exact"/>
        <w:rPr>
          <w:rFonts w:hint="eastAsia"/>
          <w:b/>
          <w:bCs/>
          <w:sz w:val="21"/>
          <w:szCs w:val="21"/>
        </w:rPr>
      </w:pPr>
      <w:r>
        <w:rPr>
          <w:rFonts w:hint="eastAsia"/>
          <w:b/>
          <w:bCs/>
          <w:sz w:val="21"/>
          <w:szCs w:val="21"/>
        </w:rPr>
        <w:t>一、项目概况和要求</w:t>
      </w:r>
    </w:p>
    <w:p>
      <w:pPr>
        <w:spacing w:line="360" w:lineRule="auto"/>
        <w:ind w:firstLine="420" w:firstLineChars="200"/>
        <w:rPr>
          <w:rFonts w:hint="eastAsia" w:ascii="宋体" w:hAnsi="宋体" w:eastAsia="宋体"/>
          <w:color w:val="000000"/>
          <w:sz w:val="21"/>
          <w:szCs w:val="21"/>
          <w:lang w:eastAsia="zh-CN"/>
        </w:rPr>
      </w:pPr>
      <w:r>
        <w:rPr>
          <w:rFonts w:hint="eastAsia" w:ascii="宋体" w:hAnsi="宋体" w:cs="微软雅黑"/>
          <w:kern w:val="0"/>
          <w:sz w:val="21"/>
          <w:szCs w:val="21"/>
        </w:rPr>
        <w:t>项目名称：</w:t>
      </w:r>
      <w:r>
        <w:rPr>
          <w:rFonts w:hint="eastAsia" w:ascii="宋体" w:hAnsi="宋体"/>
          <w:color w:val="000000"/>
          <w:sz w:val="21"/>
          <w:szCs w:val="21"/>
        </w:rPr>
        <w:t>江苏汽车技师学院广陵校区电动自行车充电站安装经营服务项目</w:t>
      </w:r>
    </w:p>
    <w:p>
      <w:pPr>
        <w:spacing w:line="360" w:lineRule="auto"/>
        <w:ind w:firstLine="420" w:firstLineChars="200"/>
        <w:rPr>
          <w:rFonts w:hint="eastAsia" w:ascii="宋体" w:hAnsi="宋体" w:cs="微软雅黑"/>
          <w:kern w:val="0"/>
          <w:sz w:val="21"/>
          <w:szCs w:val="21"/>
        </w:rPr>
      </w:pPr>
      <w:r>
        <w:rPr>
          <w:rFonts w:hint="eastAsia" w:ascii="宋体" w:hAnsi="宋体"/>
          <w:color w:val="000000"/>
          <w:szCs w:val="21"/>
        </w:rPr>
        <w:t>项目编号：</w:t>
      </w:r>
      <w:r>
        <w:rPr>
          <w:rFonts w:hint="eastAsia" w:ascii="黑体" w:hAnsi="黑体" w:eastAsia="黑体"/>
          <w:szCs w:val="21"/>
        </w:rPr>
        <w:t>JSQY-20</w:t>
      </w:r>
      <w:r>
        <w:rPr>
          <w:rFonts w:ascii="黑体" w:hAnsi="黑体" w:eastAsia="黑体"/>
          <w:szCs w:val="21"/>
        </w:rPr>
        <w:t>2</w:t>
      </w:r>
      <w:r>
        <w:rPr>
          <w:rFonts w:hint="eastAsia" w:ascii="黑体" w:hAnsi="黑体" w:eastAsia="黑体"/>
          <w:szCs w:val="21"/>
          <w:lang w:val="en-US" w:eastAsia="zh-CN"/>
        </w:rPr>
        <w:t>2038</w:t>
      </w:r>
      <w:r>
        <w:rPr>
          <w:rFonts w:hint="eastAsia" w:ascii="黑体" w:hAnsi="黑体" w:eastAsia="黑体"/>
          <w:szCs w:val="21"/>
        </w:rPr>
        <w:t>号</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预算金额：0元</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lang w:eastAsia="zh-CN"/>
        </w:rPr>
        <w:t>江苏汽车技师学院广陵校区</w:t>
      </w:r>
      <w:r>
        <w:rPr>
          <w:rFonts w:hint="eastAsia" w:ascii="宋体" w:hAnsi="宋体" w:cs="微软雅黑"/>
          <w:kern w:val="0"/>
          <w:sz w:val="21"/>
          <w:szCs w:val="21"/>
        </w:rPr>
        <w:t>电动自行车充电站安装经营服务项目，为满足师生员工生活的需要，学院拟定</w:t>
      </w:r>
      <w:r>
        <w:rPr>
          <w:rFonts w:hint="eastAsia" w:ascii="宋体" w:hAnsi="宋体" w:cs="微软雅黑"/>
          <w:kern w:val="0"/>
          <w:sz w:val="21"/>
          <w:szCs w:val="21"/>
          <w:lang w:eastAsia="zh-CN"/>
        </w:rPr>
        <w:t>在广陵</w:t>
      </w:r>
      <w:r>
        <w:rPr>
          <w:rFonts w:hint="eastAsia" w:ascii="宋体" w:hAnsi="宋体" w:cs="微软雅黑"/>
          <w:kern w:val="0"/>
          <w:sz w:val="21"/>
          <w:szCs w:val="21"/>
        </w:rPr>
        <w:t>校区</w:t>
      </w:r>
      <w:r>
        <w:rPr>
          <w:rFonts w:hint="eastAsia" w:ascii="宋体" w:hAnsi="宋体" w:cs="微软雅黑"/>
          <w:kern w:val="0"/>
          <w:sz w:val="21"/>
          <w:szCs w:val="21"/>
          <w:lang w:eastAsia="zh-CN"/>
        </w:rPr>
        <w:t>女生宿舍北围墙内外两侧以及职工宿舍车棚内</w:t>
      </w:r>
      <w:r>
        <w:rPr>
          <w:rFonts w:hint="eastAsia" w:ascii="宋体" w:hAnsi="宋体" w:cs="微软雅黑"/>
          <w:kern w:val="0"/>
          <w:sz w:val="21"/>
          <w:szCs w:val="21"/>
        </w:rPr>
        <w:t>安装电动车智能充电站</w:t>
      </w:r>
      <w:r>
        <w:rPr>
          <w:rFonts w:hint="eastAsia" w:ascii="宋体" w:hAnsi="宋体" w:cs="微软雅黑"/>
          <w:kern w:val="0"/>
          <w:sz w:val="21"/>
          <w:szCs w:val="21"/>
          <w:lang w:eastAsia="zh-CN"/>
        </w:rPr>
        <w:t>。另，成交供应商需投资</w:t>
      </w:r>
      <w:r>
        <w:rPr>
          <w:rFonts w:hint="eastAsia" w:ascii="宋体" w:hAnsi="宋体" w:cs="微软雅黑"/>
          <w:kern w:val="0"/>
          <w:sz w:val="21"/>
          <w:szCs w:val="21"/>
          <w:lang w:val="en-US" w:eastAsia="zh-CN"/>
        </w:rPr>
        <w:t>2.5万元建设女生宿舍北围墙处的车棚。</w:t>
      </w:r>
      <w:r>
        <w:rPr>
          <w:rFonts w:hint="eastAsia" w:ascii="宋体" w:hAnsi="宋体" w:cs="微软雅黑"/>
          <w:kern w:val="0"/>
          <w:sz w:val="21"/>
          <w:szCs w:val="21"/>
        </w:rPr>
        <w:t>采购单位仅提供场地，</w:t>
      </w:r>
      <w:r>
        <w:rPr>
          <w:rFonts w:hint="eastAsia" w:ascii="宋体" w:hAnsi="宋体" w:cs="微软雅黑"/>
          <w:kern w:val="0"/>
          <w:sz w:val="21"/>
          <w:szCs w:val="21"/>
          <w:lang w:eastAsia="zh-CN"/>
        </w:rPr>
        <w:t>不做任何投资。</w:t>
      </w:r>
      <w:r>
        <w:rPr>
          <w:rFonts w:hint="eastAsia" w:ascii="宋体" w:hAnsi="宋体" w:cs="微软雅黑"/>
          <w:kern w:val="0"/>
          <w:sz w:val="21"/>
          <w:szCs w:val="21"/>
        </w:rPr>
        <w:t>成交供应商负责包括但不限于充电桩及电源的购买、运输、安装、调试、维护、运营及风险等全部投资建设和运行管理等全部费用，成交供应商自负盈亏，</w:t>
      </w:r>
      <w:r>
        <w:rPr>
          <w:rFonts w:hint="eastAsia" w:ascii="宋体" w:hAnsi="宋体" w:cs="微软雅黑"/>
          <w:kern w:val="0"/>
          <w:sz w:val="21"/>
          <w:szCs w:val="21"/>
          <w:lang w:eastAsia="zh-CN"/>
        </w:rPr>
        <w:t>同时按市场价向采购单位缴纳电费，电费每学期结束缴纳一次。</w:t>
      </w:r>
      <w:r>
        <w:rPr>
          <w:rFonts w:hint="eastAsia" w:ascii="宋体" w:hAnsi="宋体" w:cs="微软雅黑"/>
          <w:kern w:val="0"/>
          <w:sz w:val="21"/>
          <w:szCs w:val="21"/>
        </w:rPr>
        <w:t>学院监督成交供应商履约情况。</w:t>
      </w:r>
    </w:p>
    <w:p>
      <w:pPr>
        <w:spacing w:line="440" w:lineRule="exact"/>
        <w:rPr>
          <w:rFonts w:hint="eastAsia"/>
          <w:b/>
          <w:bCs/>
          <w:sz w:val="21"/>
          <w:szCs w:val="21"/>
        </w:rPr>
      </w:pPr>
      <w:r>
        <w:rPr>
          <w:rFonts w:hint="eastAsia"/>
          <w:b/>
          <w:bCs/>
          <w:sz w:val="21"/>
          <w:szCs w:val="21"/>
        </w:rPr>
        <w:t>二、具体要求</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1、基本要求</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（1）校区指定位置安装室外型电动自行车充电桩，</w:t>
      </w:r>
      <w:r>
        <w:rPr>
          <w:rFonts w:hint="eastAsia" w:ascii="宋体" w:hAnsi="宋体" w:cs="微软雅黑"/>
          <w:kern w:val="0"/>
          <w:sz w:val="21"/>
          <w:szCs w:val="21"/>
          <w:lang w:eastAsia="zh-CN"/>
        </w:rPr>
        <w:t>女生宿舍北侧不少于</w:t>
      </w:r>
      <w:r>
        <w:rPr>
          <w:rFonts w:hint="eastAsia" w:ascii="宋体" w:hAnsi="宋体" w:cs="微软雅黑"/>
          <w:kern w:val="0"/>
          <w:sz w:val="21"/>
          <w:szCs w:val="21"/>
          <w:lang w:val="en-US" w:eastAsia="zh-CN"/>
        </w:rPr>
        <w:t>40个端口，教职工宿舍楼</w:t>
      </w:r>
      <w:r>
        <w:rPr>
          <w:rFonts w:hint="eastAsia" w:ascii="宋体" w:hAnsi="宋体" w:cs="微软雅黑"/>
          <w:kern w:val="0"/>
          <w:sz w:val="21"/>
          <w:szCs w:val="21"/>
        </w:rPr>
        <w:t>不少于</w:t>
      </w:r>
      <w:r>
        <w:rPr>
          <w:rFonts w:hint="eastAsia" w:ascii="宋体" w:hAnsi="宋体" w:cs="微软雅黑"/>
          <w:kern w:val="0"/>
          <w:sz w:val="21"/>
          <w:szCs w:val="21"/>
          <w:lang w:val="en-US" w:eastAsia="zh-CN"/>
        </w:rPr>
        <w:t>15</w:t>
      </w:r>
      <w:r>
        <w:rPr>
          <w:rFonts w:hint="eastAsia" w:ascii="宋体" w:hAnsi="宋体" w:cs="微软雅黑"/>
          <w:kern w:val="0"/>
          <w:sz w:val="21"/>
          <w:szCs w:val="21"/>
        </w:rPr>
        <w:t>个端口数，由社会运营单位全额投资建设；</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（2）由社会运营单位免费投资装备上述充电桩管理的软、硬件以及建立充电营运信息管理平台和安全监管系统，包含经营期间社会运营单位负责充电营运信息管理平台的免费升级、维护。</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3）充电设施、设备的布局设计要合理灵活，占地面积尽量合理，根据场地实际情况优化设计和配置，尽量减少对现有道路使用功能产生影响，同时，满足多车型充电需求充电桩安装地点及位置（具体位置由校方指定）。</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（4）需避免充电站噪音及电磁扰民现象，应采取必要的防噪及屏蔽防护，充电桩须具备防雨，防漏电功能。</w:t>
      </w:r>
    </w:p>
    <w:p>
      <w:pPr>
        <w:autoSpaceDE w:val="0"/>
        <w:autoSpaceDN w:val="0"/>
        <w:adjustRightInd w:val="0"/>
        <w:spacing w:line="360" w:lineRule="auto"/>
        <w:ind w:firstLine="420" w:firstLineChars="200"/>
        <w:jc w:val="left"/>
        <w:rPr>
          <w:rFonts w:hint="eastAsia"/>
        </w:rPr>
      </w:pPr>
      <w:r>
        <w:rPr>
          <w:rFonts w:hint="eastAsia" w:ascii="宋体" w:hAnsi="宋体" w:cs="微软雅黑"/>
          <w:kern w:val="0"/>
          <w:sz w:val="21"/>
          <w:szCs w:val="21"/>
          <w:lang w:eastAsia="zh-CN"/>
        </w:rPr>
        <w:t>（</w:t>
      </w:r>
      <w:r>
        <w:rPr>
          <w:rFonts w:hint="eastAsia" w:ascii="宋体" w:hAnsi="宋体" w:cs="微软雅黑"/>
          <w:kern w:val="0"/>
          <w:sz w:val="21"/>
          <w:szCs w:val="21"/>
          <w:lang w:val="en-US" w:eastAsia="zh-CN"/>
        </w:rPr>
        <w:t>5</w:t>
      </w:r>
      <w:r>
        <w:rPr>
          <w:rFonts w:hint="eastAsia" w:ascii="宋体" w:hAnsi="宋体" w:cs="微软雅黑"/>
          <w:kern w:val="0"/>
          <w:sz w:val="21"/>
          <w:szCs w:val="21"/>
          <w:lang w:eastAsia="zh-CN"/>
        </w:rPr>
        <w:t>）成交供应商需投资</w:t>
      </w:r>
      <w:r>
        <w:rPr>
          <w:rFonts w:hint="eastAsia" w:ascii="宋体" w:hAnsi="宋体" w:cs="微软雅黑"/>
          <w:kern w:val="0"/>
          <w:sz w:val="21"/>
          <w:szCs w:val="21"/>
          <w:lang w:val="en-US" w:eastAsia="zh-CN"/>
        </w:rPr>
        <w:t>2.5万元建设女生宿舍北围墙处的车棚。</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2、施工要求：</w:t>
      </w:r>
    </w:p>
    <w:p>
      <w:pPr>
        <w:autoSpaceDE w:val="0"/>
        <w:autoSpaceDN w:val="0"/>
        <w:adjustRightInd w:val="0"/>
        <w:spacing w:line="360" w:lineRule="auto"/>
        <w:ind w:firstLine="420" w:firstLineChars="200"/>
        <w:jc w:val="left"/>
        <w:rPr>
          <w:rFonts w:hint="eastAsia" w:ascii="宋体" w:hAnsi="宋体" w:cs="微软雅黑"/>
          <w:kern w:val="0"/>
          <w:sz w:val="21"/>
          <w:szCs w:val="21"/>
          <w:highlight w:val="none"/>
        </w:rPr>
      </w:pPr>
      <w:r>
        <w:rPr>
          <w:rFonts w:hint="eastAsia" w:ascii="宋体" w:hAnsi="宋体" w:cs="微软雅黑"/>
          <w:kern w:val="0"/>
          <w:sz w:val="21"/>
          <w:szCs w:val="21"/>
        </w:rPr>
        <w:t>（1</w:t>
      </w:r>
      <w:r>
        <w:rPr>
          <w:rFonts w:hint="eastAsia" w:ascii="宋体" w:hAnsi="宋体" w:cs="微软雅黑"/>
          <w:kern w:val="0"/>
          <w:sz w:val="21"/>
          <w:szCs w:val="21"/>
          <w:highlight w:val="none"/>
        </w:rPr>
        <w:t>）施工所需水、电、气、通信等设施的接驳及使用费用由社会运营单位自行承担。</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highlight w:val="none"/>
        </w:rPr>
        <w:t>（2）设备安装应加设两级漏电保护，确</w:t>
      </w:r>
      <w:r>
        <w:rPr>
          <w:rFonts w:hint="eastAsia" w:ascii="宋体" w:hAnsi="宋体" w:cs="微软雅黑"/>
          <w:kern w:val="0"/>
          <w:sz w:val="21"/>
          <w:szCs w:val="21"/>
        </w:rPr>
        <w:t>保充电安全。</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（3）施工所用材料的质量、型号、规格必须符合国家标准，并在充电桩满负荷运营的基础上有一定的余量。</w:t>
      </w:r>
    </w:p>
    <w:p>
      <w:pPr>
        <w:autoSpaceDE w:val="0"/>
        <w:autoSpaceDN w:val="0"/>
        <w:adjustRightInd w:val="0"/>
        <w:spacing w:line="360" w:lineRule="auto"/>
        <w:ind w:firstLine="420" w:firstLineChars="200"/>
        <w:jc w:val="left"/>
        <w:rPr>
          <w:rFonts w:hint="eastAsia" w:ascii="宋体" w:hAnsi="宋体" w:cs="微软雅黑"/>
          <w:kern w:val="0"/>
          <w:sz w:val="21"/>
          <w:szCs w:val="21"/>
          <w:lang w:eastAsia="zh-CN"/>
        </w:rPr>
      </w:pPr>
      <w:r>
        <w:rPr>
          <w:rFonts w:hint="eastAsia" w:ascii="宋体" w:hAnsi="宋体" w:cs="微软雅黑"/>
          <w:kern w:val="0"/>
          <w:sz w:val="21"/>
          <w:szCs w:val="21"/>
        </w:rPr>
        <w:t>（4）</w:t>
      </w:r>
      <w:r>
        <w:rPr>
          <w:rFonts w:hint="eastAsia" w:ascii="宋体" w:hAnsi="宋体" w:cs="微软雅黑"/>
          <w:kern w:val="0"/>
          <w:sz w:val="21"/>
          <w:szCs w:val="21"/>
          <w:lang w:eastAsia="zh-CN"/>
        </w:rPr>
        <w:t>供应商自行在</w:t>
      </w:r>
      <w:r>
        <w:rPr>
          <w:rFonts w:hint="eastAsia" w:ascii="宋体" w:hAnsi="宋体" w:cs="微软雅黑"/>
          <w:kern w:val="0"/>
          <w:sz w:val="21"/>
          <w:szCs w:val="21"/>
        </w:rPr>
        <w:t>充电桩电源接入处安装电表，电费由社会运营单位承担</w:t>
      </w:r>
      <w:r>
        <w:rPr>
          <w:rFonts w:hint="eastAsia" w:ascii="宋体" w:hAnsi="宋体" w:cs="微软雅黑"/>
          <w:kern w:val="0"/>
          <w:sz w:val="21"/>
          <w:szCs w:val="21"/>
          <w:lang w:eastAsia="zh-CN"/>
        </w:rPr>
        <w:t>。</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3、设备要求：</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设备必须用阻燃材质材料；充电设施须具备浪涌保护器；室外充电桩防护等级应不低于国家质量标准中规定的IPX4；充电桩的型号、规格及质量符合采购要求、国家现行规范和技术标准的规定；附带生产合格证、安装及使用说明、3C认证证书、其它证明设备符合采购要求的材料。建成后该系统充电设施应具备充满自动断电、定时断电、过载保护、短路保护、漏电保护、充电故障自动断电、充电故障报警、高温报警等功能；充电桩设计使用寿命应不少于5年；</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4、运营要求：</w:t>
      </w:r>
    </w:p>
    <w:p>
      <w:pPr>
        <w:autoSpaceDE w:val="0"/>
        <w:autoSpaceDN w:val="0"/>
        <w:adjustRightInd w:val="0"/>
        <w:spacing w:line="360" w:lineRule="auto"/>
        <w:ind w:firstLine="420" w:firstLineChars="200"/>
        <w:jc w:val="left"/>
        <w:rPr>
          <w:rFonts w:hint="eastAsia" w:ascii="宋体" w:hAnsi="宋体" w:cs="微软雅黑"/>
          <w:kern w:val="0"/>
          <w:sz w:val="21"/>
          <w:szCs w:val="21"/>
          <w:highlight w:val="none"/>
        </w:rPr>
      </w:pPr>
      <w:r>
        <w:rPr>
          <w:rFonts w:hint="eastAsia" w:ascii="宋体" w:hAnsi="宋体" w:cs="微软雅黑"/>
          <w:kern w:val="0"/>
          <w:sz w:val="21"/>
          <w:szCs w:val="21"/>
          <w:highlight w:val="none"/>
        </w:rPr>
        <w:t>（1）社会运营单位云平台实时监控运营情况，记录充电信息，安全报警提示。用户可以通过APP或微信查看充电桩可用信息和充电状态。</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2）提供7*24小时技术支持及上门服务，每个充电桩公示安全提示、报修电话、使用说明，公示方式明显、清晰、牢固，接到报修2小时内响应，24小时内解决问题，严重问题的解决不得超过48小时；社会运营单位保证提供终身技术支持服务。</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5、支付及收费计量要求：支持移动端扫码及刷卡支付等；内置独立的电能计量装置，能计量单次和累计的充电电能，所有的用电量需上传到平台，用户充电完成按照实时收取费用。</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 xml:space="preserve">  6、商务要求</w:t>
      </w:r>
    </w:p>
    <w:p>
      <w:pPr>
        <w:spacing w:line="360" w:lineRule="auto"/>
        <w:ind w:firstLine="420" w:firstLineChars="200"/>
        <w:outlineLvl w:val="0"/>
        <w:rPr>
          <w:rFonts w:hint="eastAsia" w:ascii="宋体" w:hAnsi="宋体" w:cs="微软雅黑"/>
          <w:kern w:val="0"/>
          <w:sz w:val="21"/>
          <w:szCs w:val="21"/>
        </w:rPr>
      </w:pPr>
      <w:r>
        <w:rPr>
          <w:rFonts w:hint="eastAsia" w:ascii="宋体" w:hAnsi="宋体" w:cs="微软雅黑"/>
          <w:kern w:val="0"/>
          <w:sz w:val="21"/>
          <w:szCs w:val="21"/>
        </w:rPr>
        <w:t>（1）合同履行期限：</w:t>
      </w:r>
      <w:r>
        <w:rPr>
          <w:rFonts w:hint="eastAsia" w:ascii="宋体" w:hAnsi="宋体" w:cs="微软雅黑"/>
          <w:kern w:val="0"/>
          <w:sz w:val="21"/>
          <w:szCs w:val="21"/>
          <w:lang w:eastAsia="zh-CN"/>
        </w:rPr>
        <w:t>合同采用“</w:t>
      </w:r>
      <w:r>
        <w:rPr>
          <w:rFonts w:hint="eastAsia" w:ascii="宋体" w:hAnsi="宋体" w:cs="微软雅黑"/>
          <w:kern w:val="0"/>
          <w:sz w:val="21"/>
          <w:szCs w:val="21"/>
          <w:lang w:val="en-US" w:eastAsia="zh-CN"/>
        </w:rPr>
        <w:t>5+2</w:t>
      </w:r>
      <w:r>
        <w:rPr>
          <w:rFonts w:hint="eastAsia" w:ascii="宋体" w:hAnsi="宋体" w:cs="微软雅黑"/>
          <w:kern w:val="0"/>
          <w:sz w:val="21"/>
          <w:szCs w:val="21"/>
          <w:lang w:eastAsia="zh-CN"/>
        </w:rPr>
        <w:t>”</w:t>
      </w:r>
      <w:r>
        <w:rPr>
          <w:rFonts w:hint="eastAsia" w:ascii="宋体" w:hAnsi="宋体" w:cs="微软雅黑"/>
          <w:kern w:val="0"/>
          <w:sz w:val="21"/>
          <w:szCs w:val="21"/>
          <w:lang w:val="en-US" w:eastAsia="zh-CN"/>
        </w:rPr>
        <w:t>模式，</w:t>
      </w:r>
      <w:r>
        <w:rPr>
          <w:rFonts w:hint="eastAsia" w:cs="仿宋_GB2312" w:asciiTheme="minorEastAsia" w:hAnsiTheme="minorEastAsia"/>
          <w:color w:val="000000"/>
          <w:szCs w:val="21"/>
        </w:rPr>
        <w:t>即第</w:t>
      </w:r>
      <w:r>
        <w:rPr>
          <w:rFonts w:hint="eastAsia" w:cs="仿宋_GB2312" w:asciiTheme="minorEastAsia" w:hAnsiTheme="minorEastAsia"/>
          <w:color w:val="000000"/>
          <w:szCs w:val="21"/>
          <w:lang w:val="en-US" w:eastAsia="zh-CN"/>
        </w:rPr>
        <w:t>5</w:t>
      </w:r>
      <w:r>
        <w:rPr>
          <w:rFonts w:hint="eastAsia" w:cs="仿宋_GB2312" w:asciiTheme="minorEastAsia" w:hAnsiTheme="minorEastAsia"/>
          <w:color w:val="000000"/>
          <w:szCs w:val="21"/>
        </w:rPr>
        <w:t>年满后，中标方提出</w:t>
      </w:r>
      <w:r>
        <w:rPr>
          <w:rFonts w:cs="仿宋_GB2312" w:asciiTheme="minorEastAsia" w:hAnsiTheme="minorEastAsia"/>
          <w:color w:val="000000"/>
          <w:szCs w:val="21"/>
        </w:rPr>
        <w:t>申请</w:t>
      </w:r>
      <w:r>
        <w:rPr>
          <w:rFonts w:hint="eastAsia" w:cs="仿宋_GB2312" w:asciiTheme="minorEastAsia" w:hAnsiTheme="minorEastAsia"/>
          <w:color w:val="000000"/>
          <w:szCs w:val="21"/>
        </w:rPr>
        <w:t>，</w:t>
      </w:r>
      <w:r>
        <w:rPr>
          <w:rFonts w:cs="仿宋_GB2312" w:asciiTheme="minorEastAsia" w:hAnsiTheme="minorEastAsia"/>
          <w:color w:val="000000"/>
          <w:szCs w:val="21"/>
        </w:rPr>
        <w:t>采购方综合考量服务质量、</w:t>
      </w:r>
      <w:r>
        <w:rPr>
          <w:rFonts w:hint="eastAsia" w:cs="仿宋_GB2312" w:asciiTheme="minorEastAsia" w:hAnsiTheme="minorEastAsia"/>
          <w:color w:val="000000"/>
          <w:szCs w:val="21"/>
        </w:rPr>
        <w:t>安全</w:t>
      </w:r>
      <w:r>
        <w:rPr>
          <w:rFonts w:cs="仿宋_GB2312" w:asciiTheme="minorEastAsia" w:hAnsiTheme="minorEastAsia"/>
          <w:color w:val="000000"/>
          <w:szCs w:val="21"/>
        </w:rPr>
        <w:t>事故</w:t>
      </w:r>
      <w:r>
        <w:rPr>
          <w:rFonts w:hint="eastAsia" w:cs="仿宋_GB2312" w:asciiTheme="minorEastAsia" w:hAnsiTheme="minorEastAsia"/>
          <w:color w:val="000000"/>
          <w:szCs w:val="21"/>
        </w:rPr>
        <w:t>、考核</w:t>
      </w:r>
      <w:r>
        <w:rPr>
          <w:rFonts w:cs="仿宋_GB2312" w:asciiTheme="minorEastAsia" w:hAnsiTheme="minorEastAsia"/>
          <w:color w:val="000000"/>
          <w:szCs w:val="21"/>
        </w:rPr>
        <w:t>情况</w:t>
      </w:r>
      <w:r>
        <w:rPr>
          <w:rFonts w:hint="eastAsia" w:cs="仿宋_GB2312" w:asciiTheme="minorEastAsia" w:hAnsiTheme="minorEastAsia"/>
          <w:color w:val="000000"/>
          <w:szCs w:val="21"/>
        </w:rPr>
        <w:t>等因素决定是否续签。</w:t>
      </w:r>
      <w:r>
        <w:rPr>
          <w:rFonts w:hint="eastAsia" w:cs="仿宋_GB2312" w:asciiTheme="minorEastAsia" w:hAnsiTheme="minorEastAsia"/>
          <w:color w:val="000000"/>
          <w:szCs w:val="21"/>
          <w:lang w:eastAsia="zh-CN"/>
        </w:rPr>
        <w:t>合同期满后，</w:t>
      </w:r>
      <w:r>
        <w:rPr>
          <w:rFonts w:hint="eastAsia" w:ascii="宋体" w:hAnsi="宋体" w:cs="微软雅黑"/>
          <w:kern w:val="0"/>
          <w:sz w:val="21"/>
          <w:szCs w:val="21"/>
        </w:rPr>
        <w:t>学院将重新招标。成交供应商自行拆除其地面上投入的装置，不得破坏路面，并且将场地恢复原状</w:t>
      </w:r>
      <w:r>
        <w:rPr>
          <w:rFonts w:hint="eastAsia" w:ascii="宋体" w:hAnsi="宋体" w:cs="微软雅黑"/>
          <w:kern w:val="0"/>
          <w:sz w:val="21"/>
          <w:szCs w:val="21"/>
          <w:lang w:eastAsia="zh-CN"/>
        </w:rPr>
        <w:t>，车棚归校方所有。</w:t>
      </w:r>
      <w:r>
        <w:rPr>
          <w:rFonts w:hint="eastAsia" w:ascii="宋体" w:hAnsi="宋体" w:cs="微软雅黑"/>
          <w:kern w:val="0"/>
          <w:sz w:val="21"/>
          <w:szCs w:val="21"/>
        </w:rPr>
        <w:t>合同履行过程中，若存在安全问题</w:t>
      </w:r>
      <w:r>
        <w:rPr>
          <w:rFonts w:hint="eastAsia" w:ascii="宋体" w:hAnsi="宋体" w:cs="微软雅黑"/>
          <w:kern w:val="0"/>
          <w:sz w:val="21"/>
          <w:szCs w:val="21"/>
          <w:lang w:eastAsia="zh-CN"/>
        </w:rPr>
        <w:t>校方</w:t>
      </w:r>
      <w:r>
        <w:rPr>
          <w:rFonts w:hint="eastAsia" w:ascii="宋体" w:hAnsi="宋体" w:cs="微软雅黑"/>
          <w:kern w:val="0"/>
          <w:sz w:val="21"/>
          <w:szCs w:val="21"/>
        </w:rPr>
        <w:t>有权立刻中止合同，不承担任何违约行为。</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（2）建设</w:t>
      </w:r>
      <w:r>
        <w:rPr>
          <w:rFonts w:hint="eastAsia" w:ascii="宋体" w:hAnsi="宋体" w:cs="微软雅黑"/>
          <w:kern w:val="0"/>
          <w:sz w:val="21"/>
          <w:szCs w:val="21"/>
          <w:highlight w:val="none"/>
        </w:rPr>
        <w:t>工期：15天之内。</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（3）中标方向学校按实（装表计量）缴纳电费，收费</w:t>
      </w:r>
      <w:r>
        <w:rPr>
          <w:rFonts w:hint="eastAsia" w:ascii="宋体" w:hAnsi="宋体" w:cs="微软雅黑"/>
          <w:kern w:val="0"/>
          <w:sz w:val="21"/>
          <w:szCs w:val="21"/>
          <w:lang w:eastAsia="zh-CN"/>
        </w:rPr>
        <w:t>按市场价收取，供应商每学期结束结算一次</w:t>
      </w:r>
      <w:r>
        <w:rPr>
          <w:rFonts w:hint="eastAsia" w:ascii="宋体" w:hAnsi="宋体" w:cs="微软雅黑"/>
          <w:kern w:val="0"/>
          <w:sz w:val="21"/>
          <w:szCs w:val="21"/>
        </w:rPr>
        <w:t>。</w:t>
      </w:r>
    </w:p>
    <w:p>
      <w:pPr>
        <w:autoSpaceDE w:val="0"/>
        <w:autoSpaceDN w:val="0"/>
        <w:adjustRightInd w:val="0"/>
        <w:spacing w:line="360" w:lineRule="auto"/>
        <w:ind w:firstLine="420" w:firstLineChars="200"/>
        <w:jc w:val="left"/>
        <w:rPr>
          <w:rFonts w:hint="eastAsia" w:ascii="宋体" w:hAnsi="宋体" w:cs="微软雅黑"/>
          <w:kern w:val="0"/>
          <w:sz w:val="21"/>
          <w:szCs w:val="21"/>
          <w:highlight w:val="none"/>
        </w:rPr>
      </w:pPr>
      <w:r>
        <w:rPr>
          <w:rFonts w:hint="eastAsia" w:ascii="宋体" w:hAnsi="宋体" w:cs="微软雅黑"/>
          <w:kern w:val="0"/>
          <w:sz w:val="21"/>
          <w:szCs w:val="21"/>
          <w:highlight w:val="none"/>
        </w:rPr>
        <w:t>（4）本项目电动自行车充电收费</w:t>
      </w:r>
      <w:r>
        <w:rPr>
          <w:rFonts w:hint="eastAsia" w:ascii="宋体" w:hAnsi="宋体" w:cs="微软雅黑"/>
          <w:kern w:val="0"/>
          <w:sz w:val="21"/>
          <w:szCs w:val="21"/>
          <w:highlight w:val="none"/>
          <w:lang w:eastAsia="zh-CN"/>
        </w:rPr>
        <w:t>最高限价为</w:t>
      </w:r>
      <w:r>
        <w:rPr>
          <w:rFonts w:hint="eastAsia" w:ascii="宋体" w:hAnsi="宋体" w:cs="微软雅黑"/>
          <w:kern w:val="0"/>
          <w:sz w:val="21"/>
          <w:szCs w:val="21"/>
          <w:highlight w:val="none"/>
        </w:rPr>
        <w:t>1元/240分钟，按分钟计费，可支持退款。供应商的报价不得高于最高限价，否则作为无效响应处理。</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（5）中标方需承担相关的校内培训及宣传等方面费用。</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7、其他技术要求：</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（1）建成后该系统充电设施应具备充满自动断电、定时断电、过载保护、短路保护、漏电保护、充电故障自动断电、充电故障报警、高温报警等功能；</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（2）支付方式：支持移动端支付；</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（3）可以按时间充电、按电量充电，功率实时显示，可自由设置最大或最小功率，单路支持990W以下设备；</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（4）远程控制，对充电、断电、续充智能功能实现远程平台端及客户端控制；</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（5）断电要求：当用户开始充电出现过载、过压、欠压、高温、漏电，充电桩具备检测功能，启动充电保护并执行自动断电程序，系统并推送账单信息至客户端；</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6）产品要求:充电插座应使用标准的五孔插座并具备有效期内的“CCC”标志，提供3C认证证书，符合国家标准GB/T2099家用和类似用途插头插座要求，插座插拔次数应不小于5000次；（响应文件中提供有效的认证证书材料，否则作为该项不满足）</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（7）收费计量要求：内置独立的电能计量装置，能计量单次和累计的充电电能，所有的用电量需上传到平台，用户充电完成按照实时收取费用；</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（8）防护要求：每个充电插口都应具有独立的过载、过压、欠压、过充、短路、高温、漏电的防护措施；</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（9）设备必须防水防雷，必须用阻燃材质材料；</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（10）充电方式要求：可实现按功率、按电量、按金额、按时间、自动充满等充电方式计费精确到分钟，自动退费。</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上述要求均为实质性条款，如供应商递交的响应文件不符合实质性条款的要求，将作为无效响应文件处理。</w:t>
      </w:r>
    </w:p>
    <w:p>
      <w:pPr>
        <w:spacing w:line="440" w:lineRule="exact"/>
        <w:rPr>
          <w:rFonts w:hint="eastAsia"/>
          <w:b/>
          <w:bCs/>
          <w:sz w:val="21"/>
          <w:szCs w:val="21"/>
        </w:rPr>
      </w:pPr>
      <w:bookmarkStart w:id="1" w:name="_Toc28359090"/>
      <w:bookmarkStart w:id="2" w:name="_Toc35393799"/>
      <w:bookmarkStart w:id="3" w:name="_Toc28359013"/>
      <w:bookmarkStart w:id="4" w:name="_Toc35393630"/>
      <w:r>
        <w:rPr>
          <w:rFonts w:hint="eastAsia"/>
          <w:b/>
          <w:bCs/>
          <w:sz w:val="21"/>
          <w:szCs w:val="21"/>
        </w:rPr>
        <w:t>三、履约保证</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1、成交供应商在收到成交通知书后，合同签订前应向采购人缴纳人</w:t>
      </w:r>
      <w:r>
        <w:rPr>
          <w:rFonts w:hint="eastAsia" w:ascii="宋体" w:hAnsi="宋体" w:cs="微软雅黑"/>
          <w:kern w:val="0"/>
          <w:sz w:val="21"/>
          <w:szCs w:val="21"/>
          <w:highlight w:val="none"/>
        </w:rPr>
        <w:t>民币壹万元的</w:t>
      </w:r>
      <w:r>
        <w:rPr>
          <w:rFonts w:hint="eastAsia" w:ascii="宋体" w:hAnsi="宋体" w:cs="微软雅黑"/>
          <w:kern w:val="0"/>
          <w:sz w:val="21"/>
          <w:szCs w:val="21"/>
        </w:rPr>
        <w:t>履约保证金，用以约束供应商在合同履行中的行为，弥补合同执行中由于自身行为可能给采购人带来的各种损失(另有约定的除外)。如果成交供应商不同意按照规定缴纳履约保证金的，采购</w:t>
      </w:r>
      <w:r>
        <w:rPr>
          <w:rFonts w:hint="eastAsia" w:ascii="宋体" w:hAnsi="宋体" w:cs="微软雅黑"/>
          <w:kern w:val="0"/>
          <w:sz w:val="21"/>
          <w:szCs w:val="21"/>
          <w:lang w:eastAsia="zh-CN"/>
        </w:rPr>
        <w:t>人</w:t>
      </w:r>
      <w:r>
        <w:rPr>
          <w:rFonts w:hint="eastAsia" w:ascii="宋体" w:hAnsi="宋体" w:cs="微软雅黑"/>
          <w:kern w:val="0"/>
          <w:sz w:val="21"/>
          <w:szCs w:val="21"/>
        </w:rPr>
        <w:t>有权取消其中标资格，并有权按照竞争性磋商文件相关规定对其进行处理。</w:t>
      </w:r>
    </w:p>
    <w:p>
      <w:pPr>
        <w:autoSpaceDE w:val="0"/>
        <w:autoSpaceDN w:val="0"/>
        <w:adjustRightInd w:val="0"/>
        <w:spacing w:line="360" w:lineRule="auto"/>
        <w:ind w:firstLine="420" w:firstLineChars="200"/>
        <w:jc w:val="left"/>
        <w:rPr>
          <w:rFonts w:hint="eastAsia" w:ascii="宋体" w:hAnsi="宋体" w:cs="微软雅黑"/>
          <w:kern w:val="0"/>
          <w:sz w:val="21"/>
          <w:szCs w:val="21"/>
        </w:rPr>
      </w:pPr>
      <w:r>
        <w:rPr>
          <w:rFonts w:hint="eastAsia" w:ascii="宋体" w:hAnsi="宋体" w:cs="微软雅黑"/>
          <w:kern w:val="0"/>
          <w:sz w:val="21"/>
          <w:szCs w:val="21"/>
        </w:rPr>
        <w:t>2、履约保证的退还：在项目履约验收合格后15日内，成交供应商凭履约保证金收条原件，无息退还履约保证金。</w:t>
      </w:r>
    </w:p>
    <w:bookmarkEnd w:id="1"/>
    <w:bookmarkEnd w:id="2"/>
    <w:bookmarkEnd w:id="3"/>
    <w:bookmarkEnd w:id="4"/>
    <w:p>
      <w:pPr>
        <w:autoSpaceDE w:val="0"/>
        <w:autoSpaceDN w:val="0"/>
        <w:adjustRightInd w:val="0"/>
        <w:spacing w:line="360" w:lineRule="auto"/>
        <w:ind w:firstLine="420" w:firstLineChars="200"/>
        <w:jc w:val="left"/>
        <w:rPr>
          <w:rFonts w:hint="eastAsia" w:ascii="宋体" w:hAnsi="宋体" w:cs="微软雅黑"/>
          <w:kern w:val="0"/>
          <w:sz w:val="21"/>
          <w:szCs w:val="21"/>
        </w:rPr>
      </w:pPr>
    </w:p>
    <w:p>
      <w:pPr>
        <w:pStyle w:val="2"/>
        <w:rPr>
          <w:rFonts w:hint="eastAsia" w:ascii="宋体" w:hAnsi="宋体" w:cs="微软雅黑"/>
          <w:kern w:val="0"/>
          <w:sz w:val="21"/>
          <w:szCs w:val="21"/>
        </w:rPr>
      </w:pPr>
    </w:p>
    <w:p>
      <w:pPr>
        <w:rPr>
          <w:rFonts w:hint="eastAsia" w:ascii="宋体" w:hAnsi="宋体" w:cs="微软雅黑"/>
          <w:kern w:val="0"/>
          <w:sz w:val="21"/>
          <w:szCs w:val="21"/>
        </w:rPr>
      </w:pPr>
    </w:p>
    <w:p>
      <w:pPr>
        <w:widowControl/>
        <w:snapToGrid w:val="0"/>
        <w:spacing w:before="19" w:line="500" w:lineRule="exact"/>
        <w:jc w:val="center"/>
        <w:rPr>
          <w:rFonts w:hint="eastAsia" w:ascii="宋体" w:hAnsi="宋体" w:eastAsia="宋体" w:cs="宋体"/>
          <w:b/>
          <w:kern w:val="44"/>
          <w:sz w:val="36"/>
          <w:szCs w:val="36"/>
          <w:lang w:eastAsia="zh-CN"/>
        </w:rPr>
      </w:pPr>
      <w:r>
        <w:rPr>
          <w:rFonts w:hint="eastAsia" w:ascii="宋体" w:hAnsi="宋体" w:cs="宋体"/>
          <w:b/>
          <w:kern w:val="44"/>
          <w:sz w:val="36"/>
          <w:szCs w:val="36"/>
        </w:rPr>
        <w:t>第</w:t>
      </w:r>
      <w:r>
        <w:rPr>
          <w:rFonts w:hint="eastAsia" w:ascii="宋体" w:hAnsi="宋体" w:cs="宋体"/>
          <w:b/>
          <w:kern w:val="44"/>
          <w:sz w:val="36"/>
          <w:szCs w:val="36"/>
          <w:lang w:eastAsia="zh-CN"/>
        </w:rPr>
        <w:t>三</w:t>
      </w:r>
      <w:r>
        <w:rPr>
          <w:rFonts w:hint="eastAsia" w:ascii="宋体" w:hAnsi="宋体" w:cs="宋体"/>
          <w:b/>
          <w:kern w:val="44"/>
          <w:sz w:val="36"/>
          <w:szCs w:val="36"/>
        </w:rPr>
        <w:t xml:space="preserve">章 </w:t>
      </w:r>
      <w:r>
        <w:rPr>
          <w:rFonts w:hint="eastAsia" w:ascii="宋体" w:hAnsi="宋体" w:cs="宋体"/>
          <w:b/>
          <w:kern w:val="44"/>
          <w:sz w:val="36"/>
          <w:szCs w:val="36"/>
          <w:lang w:eastAsia="zh-CN"/>
        </w:rPr>
        <w:t>谈判文件格式</w:t>
      </w:r>
    </w:p>
    <w:p>
      <w:pPr>
        <w:pStyle w:val="3"/>
        <w:rPr>
          <w:rFonts w:hint="eastAsia" w:ascii="宋体" w:hAnsi="宋体" w:eastAsia="宋体" w:cs="宋体"/>
          <w:sz w:val="36"/>
          <w:szCs w:val="36"/>
        </w:rPr>
      </w:pPr>
    </w:p>
    <w:p>
      <w:pPr>
        <w:jc w:val="center"/>
        <w:rPr>
          <w:rFonts w:hint="eastAsia" w:ascii="宋体" w:hAnsi="宋体"/>
          <w:b/>
          <w:sz w:val="72"/>
        </w:rPr>
      </w:pPr>
    </w:p>
    <w:p>
      <w:pPr>
        <w:jc w:val="center"/>
        <w:rPr>
          <w:rFonts w:hint="eastAsia" w:ascii="宋体" w:hAnsi="宋体"/>
          <w:b/>
          <w:sz w:val="72"/>
        </w:rPr>
      </w:pPr>
    </w:p>
    <w:p>
      <w:pPr>
        <w:jc w:val="center"/>
        <w:rPr>
          <w:rFonts w:ascii="宋体" w:hAnsi="宋体"/>
          <w:b/>
          <w:sz w:val="72"/>
        </w:rPr>
      </w:pPr>
      <w:r>
        <w:rPr>
          <w:rFonts w:hint="eastAsia" w:ascii="宋体" w:hAnsi="宋体"/>
          <w:b/>
          <w:sz w:val="72"/>
          <w:lang w:eastAsia="zh-CN"/>
        </w:rPr>
        <w:t>谈</w:t>
      </w:r>
      <w:r>
        <w:rPr>
          <w:rFonts w:hint="eastAsia" w:ascii="宋体" w:hAnsi="宋体"/>
          <w:b/>
          <w:sz w:val="72"/>
          <w:lang w:val="en-US" w:eastAsia="zh-CN"/>
        </w:rPr>
        <w:t xml:space="preserve"> </w:t>
      </w:r>
      <w:r>
        <w:rPr>
          <w:rFonts w:hint="eastAsia" w:ascii="宋体" w:hAnsi="宋体"/>
          <w:b/>
          <w:sz w:val="72"/>
          <w:lang w:eastAsia="zh-CN"/>
        </w:rPr>
        <w:t>判</w:t>
      </w:r>
      <w:r>
        <w:rPr>
          <w:rFonts w:hint="eastAsia" w:ascii="宋体" w:hAnsi="宋体"/>
          <w:b/>
          <w:sz w:val="72"/>
        </w:rPr>
        <w:t xml:space="preserve"> 文 件</w:t>
      </w: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left="1016" w:firstLine="1084" w:firstLineChars="300"/>
        <w:rPr>
          <w:rFonts w:ascii="宋体" w:hAnsi="宋体"/>
          <w:b/>
          <w:sz w:val="36"/>
        </w:rPr>
      </w:pPr>
      <w:r>
        <w:rPr>
          <w:rFonts w:hint="eastAsia" w:ascii="宋体" w:hAnsi="宋体"/>
          <w:b/>
          <w:sz w:val="36"/>
        </w:rPr>
        <w:t>项 目 名 称：</w:t>
      </w:r>
    </w:p>
    <w:p>
      <w:pPr>
        <w:ind w:left="1016" w:firstLine="1084" w:firstLineChars="300"/>
        <w:rPr>
          <w:rFonts w:ascii="宋体" w:hAnsi="宋体"/>
          <w:b/>
          <w:sz w:val="36"/>
          <w:u w:val="single"/>
        </w:rPr>
      </w:pPr>
      <w:r>
        <w:rPr>
          <w:rFonts w:hint="eastAsia" w:ascii="宋体" w:hAnsi="宋体"/>
          <w:b/>
          <w:sz w:val="36"/>
        </w:rPr>
        <w:t>项 目 编 号：</w:t>
      </w:r>
    </w:p>
    <w:p>
      <w:pPr>
        <w:ind w:left="1680" w:firstLine="420"/>
        <w:rPr>
          <w:rFonts w:ascii="宋体" w:hAnsi="宋体"/>
          <w:b/>
          <w:sz w:val="36"/>
          <w:u w:val="single"/>
        </w:rPr>
      </w:pPr>
      <w:r>
        <w:rPr>
          <w:rFonts w:hint="eastAsia" w:ascii="宋体" w:hAnsi="宋体"/>
          <w:b/>
          <w:sz w:val="36"/>
        </w:rPr>
        <w:t>供应商名称 ：</w:t>
      </w:r>
    </w:p>
    <w:p>
      <w:pPr>
        <w:ind w:left="1680" w:firstLine="420"/>
        <w:rPr>
          <w:rFonts w:ascii="宋体" w:hAnsi="宋体"/>
          <w:b/>
          <w:sz w:val="36"/>
        </w:rPr>
      </w:pPr>
      <w:r>
        <w:rPr>
          <w:rFonts w:hint="eastAsia" w:ascii="宋体" w:hAnsi="宋体"/>
          <w:b/>
          <w:sz w:val="36"/>
        </w:rPr>
        <w:t>日      期 ：</w:t>
      </w:r>
    </w:p>
    <w:p>
      <w:pPr>
        <w:pStyle w:val="2"/>
        <w:rPr>
          <w:rFonts w:hint="eastAsia"/>
        </w:rPr>
      </w:pPr>
      <w:r>
        <w:br w:type="page"/>
      </w:r>
    </w:p>
    <w:p>
      <w:pPr>
        <w:pStyle w:val="4"/>
        <w:spacing w:before="120" w:after="120"/>
        <w:ind w:firstLine="3534" w:firstLineChars="1100"/>
        <w:rPr>
          <w:rFonts w:ascii="宋体" w:hAnsi="宋体" w:cs="宋体"/>
        </w:rPr>
      </w:pPr>
      <w:r>
        <w:rPr>
          <w:rFonts w:hint="eastAsia" w:ascii="宋体" w:hAnsi="宋体" w:cs="宋体"/>
        </w:rPr>
        <w:t>评分索引表</w:t>
      </w:r>
    </w:p>
    <w:tbl>
      <w:tblPr>
        <w:tblStyle w:val="9"/>
        <w:tblW w:w="9351" w:type="dxa"/>
        <w:tblInd w:w="-318" w:type="dxa"/>
        <w:tblLayout w:type="fixed"/>
        <w:tblCellMar>
          <w:top w:w="0" w:type="dxa"/>
          <w:left w:w="108" w:type="dxa"/>
          <w:bottom w:w="0" w:type="dxa"/>
          <w:right w:w="108" w:type="dxa"/>
        </w:tblCellMar>
      </w:tblPr>
      <w:tblGrid>
        <w:gridCol w:w="669"/>
        <w:gridCol w:w="1202"/>
        <w:gridCol w:w="6068"/>
        <w:gridCol w:w="1412"/>
      </w:tblGrid>
      <w:tr>
        <w:tblPrEx>
          <w:tblCellMar>
            <w:top w:w="0" w:type="dxa"/>
            <w:left w:w="108" w:type="dxa"/>
            <w:bottom w:w="0" w:type="dxa"/>
            <w:right w:w="108" w:type="dxa"/>
          </w:tblCellMar>
        </w:tblPrEx>
        <w:trPr>
          <w:trHeight w:val="1161"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sz w:val="24"/>
                <w:szCs w:val="24"/>
              </w:rPr>
            </w:pPr>
            <w:r>
              <w:rPr>
                <w:rFonts w:hint="eastAsia" w:ascii="宋体" w:hAnsi="宋体" w:cs="宋体"/>
                <w:b/>
                <w:bCs/>
                <w:sz w:val="24"/>
                <w:szCs w:val="24"/>
              </w:rPr>
              <w:t>序号</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sz w:val="24"/>
                <w:szCs w:val="24"/>
              </w:rPr>
            </w:pPr>
            <w:r>
              <w:rPr>
                <w:rFonts w:hint="eastAsia" w:ascii="宋体" w:hAnsi="宋体" w:cs="宋体"/>
                <w:b/>
                <w:bCs/>
                <w:sz w:val="24"/>
                <w:szCs w:val="24"/>
              </w:rPr>
              <w:t>评分因素</w:t>
            </w:r>
          </w:p>
        </w:tc>
        <w:tc>
          <w:tcPr>
            <w:tcW w:w="60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sz w:val="24"/>
                <w:szCs w:val="24"/>
              </w:rPr>
            </w:pPr>
            <w:r>
              <w:rPr>
                <w:rFonts w:hint="eastAsia" w:ascii="宋体" w:hAnsi="宋体" w:cs="宋体"/>
                <w:b/>
                <w:bCs/>
                <w:sz w:val="24"/>
                <w:szCs w:val="24"/>
              </w:rPr>
              <w:t>评分内容</w:t>
            </w:r>
          </w:p>
        </w:tc>
        <w:tc>
          <w:tcPr>
            <w:tcW w:w="14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sz w:val="24"/>
                <w:szCs w:val="24"/>
              </w:rPr>
            </w:pPr>
            <w:r>
              <w:rPr>
                <w:rFonts w:hint="eastAsia" w:ascii="宋体" w:hAnsi="宋体" w:cs="宋体"/>
                <w:b/>
                <w:bCs/>
                <w:sz w:val="24"/>
                <w:szCs w:val="24"/>
              </w:rPr>
              <w:t>投标文件所在页码</w:t>
            </w:r>
          </w:p>
        </w:tc>
      </w:tr>
      <w:tr>
        <w:tblPrEx>
          <w:tblCellMar>
            <w:top w:w="0" w:type="dxa"/>
            <w:left w:w="108" w:type="dxa"/>
            <w:bottom w:w="0" w:type="dxa"/>
            <w:right w:w="108" w:type="dxa"/>
          </w:tblCellMar>
        </w:tblPrEx>
        <w:trPr>
          <w:trHeight w:val="907"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sz w:val="24"/>
                <w:szCs w:val="24"/>
              </w:rPr>
            </w:pPr>
          </w:p>
        </w:tc>
        <w:tc>
          <w:tcPr>
            <w:tcW w:w="6068" w:type="dxa"/>
            <w:tcBorders>
              <w:top w:val="nil"/>
              <w:left w:val="nil"/>
              <w:bottom w:val="single" w:color="auto" w:sz="4" w:space="0"/>
              <w:right w:val="single" w:color="auto" w:sz="4" w:space="0"/>
            </w:tcBorders>
            <w:noWrap w:val="0"/>
            <w:vAlign w:val="bottom"/>
          </w:tcPr>
          <w:p>
            <w:pPr>
              <w:widowControl/>
              <w:rPr>
                <w:rFonts w:ascii="宋体" w:hAnsi="宋体" w:cs="宋体"/>
                <w:sz w:val="24"/>
                <w:szCs w:val="24"/>
              </w:rPr>
            </w:pPr>
          </w:p>
        </w:tc>
        <w:tc>
          <w:tcPr>
            <w:tcW w:w="1412" w:type="dxa"/>
            <w:tcBorders>
              <w:top w:val="nil"/>
              <w:left w:val="nil"/>
              <w:bottom w:val="single" w:color="auto" w:sz="4" w:space="0"/>
              <w:right w:val="single" w:color="auto" w:sz="4" w:space="0"/>
            </w:tcBorders>
            <w:noWrap w:val="0"/>
            <w:vAlign w:val="top"/>
          </w:tcPr>
          <w:p>
            <w:pPr>
              <w:widowControl/>
              <w:rPr>
                <w:rFonts w:ascii="宋体" w:hAnsi="宋体" w:cs="宋体"/>
                <w:sz w:val="24"/>
                <w:szCs w:val="24"/>
              </w:rPr>
            </w:pPr>
          </w:p>
        </w:tc>
      </w:tr>
      <w:tr>
        <w:tblPrEx>
          <w:tblCellMar>
            <w:top w:w="0" w:type="dxa"/>
            <w:left w:w="108" w:type="dxa"/>
            <w:bottom w:w="0" w:type="dxa"/>
            <w:right w:w="108" w:type="dxa"/>
          </w:tblCellMar>
        </w:tblPrEx>
        <w:trPr>
          <w:trHeight w:val="907"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sz w:val="24"/>
                <w:szCs w:val="24"/>
              </w:rPr>
            </w:pPr>
          </w:p>
        </w:tc>
        <w:tc>
          <w:tcPr>
            <w:tcW w:w="6068" w:type="dxa"/>
            <w:tcBorders>
              <w:top w:val="nil"/>
              <w:left w:val="nil"/>
              <w:bottom w:val="single" w:color="auto" w:sz="4" w:space="0"/>
              <w:right w:val="single" w:color="auto" w:sz="4" w:space="0"/>
            </w:tcBorders>
            <w:noWrap w:val="0"/>
            <w:vAlign w:val="center"/>
          </w:tcPr>
          <w:p>
            <w:pPr>
              <w:widowControl/>
              <w:rPr>
                <w:sz w:val="24"/>
                <w:szCs w:val="24"/>
              </w:rPr>
            </w:pPr>
          </w:p>
        </w:tc>
        <w:tc>
          <w:tcPr>
            <w:tcW w:w="1412" w:type="dxa"/>
            <w:tcBorders>
              <w:top w:val="nil"/>
              <w:left w:val="nil"/>
              <w:bottom w:val="single" w:color="auto" w:sz="4" w:space="0"/>
              <w:right w:val="single" w:color="auto" w:sz="4" w:space="0"/>
            </w:tcBorders>
            <w:noWrap w:val="0"/>
            <w:vAlign w:val="top"/>
          </w:tcPr>
          <w:p>
            <w:pPr>
              <w:widowControl/>
              <w:rPr>
                <w:sz w:val="24"/>
                <w:szCs w:val="24"/>
              </w:rPr>
            </w:pPr>
          </w:p>
        </w:tc>
      </w:tr>
      <w:tr>
        <w:tblPrEx>
          <w:tblCellMar>
            <w:top w:w="0" w:type="dxa"/>
            <w:left w:w="108" w:type="dxa"/>
            <w:bottom w:w="0" w:type="dxa"/>
            <w:right w:w="108" w:type="dxa"/>
          </w:tblCellMar>
        </w:tblPrEx>
        <w:trPr>
          <w:trHeight w:val="907"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sz w:val="24"/>
                <w:szCs w:val="24"/>
              </w:rPr>
            </w:pPr>
          </w:p>
        </w:tc>
        <w:tc>
          <w:tcPr>
            <w:tcW w:w="6068" w:type="dxa"/>
            <w:tcBorders>
              <w:top w:val="nil"/>
              <w:left w:val="nil"/>
              <w:bottom w:val="single" w:color="auto" w:sz="4" w:space="0"/>
              <w:right w:val="single" w:color="auto" w:sz="4" w:space="0"/>
            </w:tcBorders>
            <w:noWrap w:val="0"/>
            <w:vAlign w:val="center"/>
          </w:tcPr>
          <w:p>
            <w:pPr>
              <w:widowControl/>
              <w:rPr>
                <w:sz w:val="24"/>
                <w:szCs w:val="24"/>
              </w:rPr>
            </w:pPr>
          </w:p>
        </w:tc>
        <w:tc>
          <w:tcPr>
            <w:tcW w:w="1412" w:type="dxa"/>
            <w:tcBorders>
              <w:top w:val="nil"/>
              <w:left w:val="nil"/>
              <w:bottom w:val="single" w:color="auto" w:sz="4" w:space="0"/>
              <w:right w:val="single" w:color="auto" w:sz="4" w:space="0"/>
            </w:tcBorders>
            <w:noWrap w:val="0"/>
            <w:vAlign w:val="top"/>
          </w:tcPr>
          <w:p>
            <w:pPr>
              <w:widowControl/>
              <w:rPr>
                <w:sz w:val="24"/>
                <w:szCs w:val="24"/>
              </w:rPr>
            </w:pPr>
          </w:p>
        </w:tc>
      </w:tr>
      <w:tr>
        <w:tblPrEx>
          <w:tblCellMar>
            <w:top w:w="0" w:type="dxa"/>
            <w:left w:w="108" w:type="dxa"/>
            <w:bottom w:w="0" w:type="dxa"/>
            <w:right w:w="108" w:type="dxa"/>
          </w:tblCellMar>
        </w:tblPrEx>
        <w:trPr>
          <w:trHeight w:val="869"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sz w:val="24"/>
                <w:szCs w:val="24"/>
              </w:rPr>
            </w:pPr>
          </w:p>
        </w:tc>
        <w:tc>
          <w:tcPr>
            <w:tcW w:w="6068" w:type="dxa"/>
            <w:tcBorders>
              <w:top w:val="nil"/>
              <w:left w:val="nil"/>
              <w:bottom w:val="single" w:color="auto" w:sz="4" w:space="0"/>
              <w:right w:val="single" w:color="auto" w:sz="4" w:space="0"/>
            </w:tcBorders>
            <w:noWrap w:val="0"/>
            <w:vAlign w:val="center"/>
          </w:tcPr>
          <w:p>
            <w:pPr>
              <w:widowControl/>
              <w:rPr>
                <w:sz w:val="24"/>
                <w:szCs w:val="24"/>
              </w:rPr>
            </w:pPr>
          </w:p>
        </w:tc>
        <w:tc>
          <w:tcPr>
            <w:tcW w:w="1412" w:type="dxa"/>
            <w:tcBorders>
              <w:top w:val="nil"/>
              <w:left w:val="nil"/>
              <w:bottom w:val="single" w:color="auto" w:sz="4" w:space="0"/>
              <w:right w:val="single" w:color="auto" w:sz="4" w:space="0"/>
            </w:tcBorders>
            <w:noWrap w:val="0"/>
            <w:vAlign w:val="top"/>
          </w:tcPr>
          <w:p>
            <w:pPr>
              <w:widowControl/>
              <w:rPr>
                <w:sz w:val="24"/>
                <w:szCs w:val="24"/>
              </w:rPr>
            </w:pPr>
          </w:p>
        </w:tc>
      </w:tr>
      <w:tr>
        <w:tblPrEx>
          <w:tblCellMar>
            <w:top w:w="0" w:type="dxa"/>
            <w:left w:w="108" w:type="dxa"/>
            <w:bottom w:w="0" w:type="dxa"/>
            <w:right w:w="108" w:type="dxa"/>
          </w:tblCellMar>
        </w:tblPrEx>
        <w:trPr>
          <w:trHeight w:val="907"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sz w:val="24"/>
                <w:szCs w:val="24"/>
              </w:rPr>
            </w:pPr>
          </w:p>
        </w:tc>
        <w:tc>
          <w:tcPr>
            <w:tcW w:w="6068" w:type="dxa"/>
            <w:tcBorders>
              <w:top w:val="nil"/>
              <w:left w:val="nil"/>
              <w:bottom w:val="single" w:color="auto" w:sz="4" w:space="0"/>
              <w:right w:val="single" w:color="auto" w:sz="4" w:space="0"/>
            </w:tcBorders>
            <w:noWrap w:val="0"/>
            <w:vAlign w:val="center"/>
          </w:tcPr>
          <w:p>
            <w:pPr>
              <w:widowControl/>
              <w:rPr>
                <w:sz w:val="24"/>
                <w:szCs w:val="24"/>
              </w:rPr>
            </w:pPr>
          </w:p>
        </w:tc>
        <w:tc>
          <w:tcPr>
            <w:tcW w:w="1412" w:type="dxa"/>
            <w:tcBorders>
              <w:top w:val="nil"/>
              <w:left w:val="nil"/>
              <w:bottom w:val="single" w:color="auto" w:sz="4" w:space="0"/>
              <w:right w:val="single" w:color="auto" w:sz="4" w:space="0"/>
            </w:tcBorders>
            <w:noWrap w:val="0"/>
            <w:vAlign w:val="top"/>
          </w:tcPr>
          <w:p>
            <w:pPr>
              <w:widowControl/>
              <w:rPr>
                <w:sz w:val="24"/>
                <w:szCs w:val="24"/>
              </w:rPr>
            </w:pPr>
          </w:p>
        </w:tc>
      </w:tr>
      <w:tr>
        <w:tblPrEx>
          <w:tblCellMar>
            <w:top w:w="0" w:type="dxa"/>
            <w:left w:w="108" w:type="dxa"/>
            <w:bottom w:w="0" w:type="dxa"/>
            <w:right w:w="108" w:type="dxa"/>
          </w:tblCellMar>
        </w:tblPrEx>
        <w:trPr>
          <w:trHeight w:val="907"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sz w:val="24"/>
                <w:szCs w:val="24"/>
              </w:rPr>
            </w:pPr>
          </w:p>
        </w:tc>
        <w:tc>
          <w:tcPr>
            <w:tcW w:w="6068" w:type="dxa"/>
            <w:tcBorders>
              <w:top w:val="nil"/>
              <w:left w:val="nil"/>
              <w:bottom w:val="single" w:color="auto" w:sz="4" w:space="0"/>
              <w:right w:val="single" w:color="auto" w:sz="4" w:space="0"/>
            </w:tcBorders>
            <w:noWrap w:val="0"/>
            <w:vAlign w:val="center"/>
          </w:tcPr>
          <w:p>
            <w:pPr>
              <w:widowControl/>
              <w:rPr>
                <w:sz w:val="24"/>
                <w:szCs w:val="24"/>
              </w:rPr>
            </w:pPr>
          </w:p>
        </w:tc>
        <w:tc>
          <w:tcPr>
            <w:tcW w:w="1412" w:type="dxa"/>
            <w:tcBorders>
              <w:top w:val="nil"/>
              <w:left w:val="nil"/>
              <w:bottom w:val="single" w:color="auto" w:sz="4" w:space="0"/>
              <w:right w:val="single" w:color="auto" w:sz="4" w:space="0"/>
            </w:tcBorders>
            <w:noWrap w:val="0"/>
            <w:vAlign w:val="top"/>
          </w:tcPr>
          <w:p>
            <w:pPr>
              <w:widowControl/>
              <w:rPr>
                <w:sz w:val="24"/>
                <w:szCs w:val="24"/>
              </w:rPr>
            </w:pPr>
          </w:p>
        </w:tc>
      </w:tr>
      <w:tr>
        <w:tblPrEx>
          <w:tblCellMar>
            <w:top w:w="0" w:type="dxa"/>
            <w:left w:w="108" w:type="dxa"/>
            <w:bottom w:w="0" w:type="dxa"/>
            <w:right w:w="108" w:type="dxa"/>
          </w:tblCellMar>
        </w:tblPrEx>
        <w:trPr>
          <w:trHeight w:val="907"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sz w:val="24"/>
                <w:szCs w:val="24"/>
              </w:rPr>
            </w:pPr>
          </w:p>
        </w:tc>
        <w:tc>
          <w:tcPr>
            <w:tcW w:w="6068" w:type="dxa"/>
            <w:tcBorders>
              <w:top w:val="nil"/>
              <w:left w:val="nil"/>
              <w:bottom w:val="single" w:color="auto" w:sz="4" w:space="0"/>
              <w:right w:val="single" w:color="auto" w:sz="4" w:space="0"/>
            </w:tcBorders>
            <w:noWrap w:val="0"/>
            <w:vAlign w:val="center"/>
          </w:tcPr>
          <w:p>
            <w:pPr>
              <w:widowControl/>
              <w:rPr>
                <w:sz w:val="24"/>
                <w:szCs w:val="24"/>
              </w:rPr>
            </w:pPr>
          </w:p>
        </w:tc>
        <w:tc>
          <w:tcPr>
            <w:tcW w:w="1412" w:type="dxa"/>
            <w:tcBorders>
              <w:top w:val="nil"/>
              <w:left w:val="nil"/>
              <w:bottom w:val="single" w:color="auto" w:sz="4" w:space="0"/>
              <w:right w:val="single" w:color="auto" w:sz="4" w:space="0"/>
            </w:tcBorders>
            <w:noWrap w:val="0"/>
            <w:vAlign w:val="top"/>
          </w:tcPr>
          <w:p>
            <w:pPr>
              <w:widowControl/>
              <w:rPr>
                <w:sz w:val="24"/>
                <w:szCs w:val="24"/>
              </w:rPr>
            </w:pPr>
          </w:p>
        </w:tc>
      </w:tr>
      <w:tr>
        <w:tblPrEx>
          <w:tblCellMar>
            <w:top w:w="0" w:type="dxa"/>
            <w:left w:w="108" w:type="dxa"/>
            <w:bottom w:w="0" w:type="dxa"/>
            <w:right w:w="108" w:type="dxa"/>
          </w:tblCellMar>
        </w:tblPrEx>
        <w:trPr>
          <w:trHeight w:val="907"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sz w:val="24"/>
                <w:szCs w:val="24"/>
              </w:rPr>
            </w:pPr>
          </w:p>
        </w:tc>
        <w:tc>
          <w:tcPr>
            <w:tcW w:w="6068" w:type="dxa"/>
            <w:tcBorders>
              <w:top w:val="nil"/>
              <w:left w:val="nil"/>
              <w:bottom w:val="single" w:color="auto" w:sz="4" w:space="0"/>
              <w:right w:val="single" w:color="auto" w:sz="4" w:space="0"/>
            </w:tcBorders>
            <w:noWrap w:val="0"/>
            <w:vAlign w:val="center"/>
          </w:tcPr>
          <w:p>
            <w:pPr>
              <w:widowControl/>
              <w:rPr>
                <w:sz w:val="24"/>
                <w:szCs w:val="24"/>
              </w:rPr>
            </w:pPr>
          </w:p>
        </w:tc>
        <w:tc>
          <w:tcPr>
            <w:tcW w:w="1412" w:type="dxa"/>
            <w:tcBorders>
              <w:top w:val="nil"/>
              <w:left w:val="nil"/>
              <w:bottom w:val="single" w:color="auto" w:sz="4" w:space="0"/>
              <w:right w:val="single" w:color="auto" w:sz="4" w:space="0"/>
            </w:tcBorders>
            <w:noWrap w:val="0"/>
            <w:vAlign w:val="top"/>
          </w:tcPr>
          <w:p>
            <w:pPr>
              <w:widowControl/>
              <w:rPr>
                <w:sz w:val="24"/>
                <w:szCs w:val="24"/>
              </w:rPr>
            </w:pPr>
          </w:p>
        </w:tc>
      </w:tr>
      <w:tr>
        <w:tblPrEx>
          <w:tblCellMar>
            <w:top w:w="0" w:type="dxa"/>
            <w:left w:w="108" w:type="dxa"/>
            <w:bottom w:w="0" w:type="dxa"/>
            <w:right w:w="108" w:type="dxa"/>
          </w:tblCellMar>
        </w:tblPrEx>
        <w:trPr>
          <w:trHeight w:val="869"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sz w:val="24"/>
                <w:szCs w:val="24"/>
              </w:rPr>
            </w:pPr>
          </w:p>
        </w:tc>
        <w:tc>
          <w:tcPr>
            <w:tcW w:w="6068" w:type="dxa"/>
            <w:tcBorders>
              <w:top w:val="nil"/>
              <w:left w:val="nil"/>
              <w:bottom w:val="single" w:color="auto" w:sz="4" w:space="0"/>
              <w:right w:val="single" w:color="auto" w:sz="4" w:space="0"/>
            </w:tcBorders>
            <w:noWrap w:val="0"/>
            <w:vAlign w:val="center"/>
          </w:tcPr>
          <w:p>
            <w:pPr>
              <w:widowControl/>
              <w:rPr>
                <w:sz w:val="24"/>
                <w:szCs w:val="24"/>
              </w:rPr>
            </w:pPr>
          </w:p>
        </w:tc>
        <w:tc>
          <w:tcPr>
            <w:tcW w:w="1412" w:type="dxa"/>
            <w:tcBorders>
              <w:top w:val="nil"/>
              <w:left w:val="nil"/>
              <w:bottom w:val="single" w:color="auto" w:sz="4" w:space="0"/>
              <w:right w:val="single" w:color="auto" w:sz="4" w:space="0"/>
            </w:tcBorders>
            <w:noWrap w:val="0"/>
            <w:vAlign w:val="top"/>
          </w:tcPr>
          <w:p>
            <w:pPr>
              <w:widowControl/>
              <w:rPr>
                <w:sz w:val="24"/>
                <w:szCs w:val="24"/>
              </w:rPr>
            </w:pPr>
          </w:p>
        </w:tc>
      </w:tr>
      <w:tr>
        <w:tblPrEx>
          <w:tblCellMar>
            <w:top w:w="0" w:type="dxa"/>
            <w:left w:w="108" w:type="dxa"/>
            <w:bottom w:w="0" w:type="dxa"/>
            <w:right w:w="108" w:type="dxa"/>
          </w:tblCellMar>
        </w:tblPrEx>
        <w:trPr>
          <w:trHeight w:val="907"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sz w:val="24"/>
                <w:szCs w:val="24"/>
              </w:rPr>
            </w:pPr>
          </w:p>
        </w:tc>
        <w:tc>
          <w:tcPr>
            <w:tcW w:w="6068" w:type="dxa"/>
            <w:tcBorders>
              <w:top w:val="nil"/>
              <w:left w:val="nil"/>
              <w:bottom w:val="single" w:color="auto" w:sz="4" w:space="0"/>
              <w:right w:val="single" w:color="auto" w:sz="4" w:space="0"/>
            </w:tcBorders>
            <w:noWrap w:val="0"/>
            <w:vAlign w:val="center"/>
          </w:tcPr>
          <w:p>
            <w:pPr>
              <w:widowControl/>
              <w:rPr>
                <w:sz w:val="24"/>
                <w:szCs w:val="24"/>
              </w:rPr>
            </w:pPr>
          </w:p>
        </w:tc>
        <w:tc>
          <w:tcPr>
            <w:tcW w:w="1412" w:type="dxa"/>
            <w:tcBorders>
              <w:top w:val="nil"/>
              <w:left w:val="nil"/>
              <w:bottom w:val="single" w:color="auto" w:sz="4" w:space="0"/>
              <w:right w:val="single" w:color="auto" w:sz="4" w:space="0"/>
            </w:tcBorders>
            <w:noWrap w:val="0"/>
            <w:vAlign w:val="top"/>
          </w:tcPr>
          <w:p>
            <w:pPr>
              <w:widowControl/>
              <w:rPr>
                <w:sz w:val="24"/>
                <w:szCs w:val="24"/>
              </w:rPr>
            </w:pPr>
          </w:p>
        </w:tc>
      </w:tr>
      <w:tr>
        <w:tblPrEx>
          <w:tblCellMar>
            <w:top w:w="0" w:type="dxa"/>
            <w:left w:w="108" w:type="dxa"/>
            <w:bottom w:w="0" w:type="dxa"/>
            <w:right w:w="108" w:type="dxa"/>
          </w:tblCellMar>
        </w:tblPrEx>
        <w:trPr>
          <w:trHeight w:val="907" w:hRule="atLeast"/>
        </w:trPr>
        <w:tc>
          <w:tcPr>
            <w:tcW w:w="669" w:type="dxa"/>
            <w:tcBorders>
              <w:top w:val="nil"/>
              <w:left w:val="single" w:color="auto" w:sz="4" w:space="0"/>
              <w:bottom w:val="single" w:color="auto" w:sz="4" w:space="0"/>
              <w:right w:val="single" w:color="auto" w:sz="4" w:space="0"/>
            </w:tcBorders>
            <w:noWrap w:val="0"/>
            <w:vAlign w:val="center"/>
          </w:tcPr>
          <w:p>
            <w:pPr>
              <w:widowControl/>
              <w:jc w:val="center"/>
              <w:rPr>
                <w:b/>
                <w:bCs/>
                <w:sz w:val="24"/>
                <w:szCs w:val="24"/>
              </w:rPr>
            </w:pP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sz w:val="24"/>
                <w:szCs w:val="24"/>
              </w:rPr>
            </w:pPr>
          </w:p>
        </w:tc>
        <w:tc>
          <w:tcPr>
            <w:tcW w:w="6068" w:type="dxa"/>
            <w:tcBorders>
              <w:top w:val="nil"/>
              <w:left w:val="nil"/>
              <w:bottom w:val="single" w:color="auto" w:sz="4" w:space="0"/>
              <w:right w:val="single" w:color="auto" w:sz="4" w:space="0"/>
            </w:tcBorders>
            <w:noWrap w:val="0"/>
            <w:vAlign w:val="center"/>
          </w:tcPr>
          <w:p>
            <w:pPr>
              <w:widowControl/>
              <w:rPr>
                <w:sz w:val="24"/>
                <w:szCs w:val="24"/>
              </w:rPr>
            </w:pPr>
          </w:p>
        </w:tc>
        <w:tc>
          <w:tcPr>
            <w:tcW w:w="1412" w:type="dxa"/>
            <w:tcBorders>
              <w:top w:val="nil"/>
              <w:left w:val="nil"/>
              <w:bottom w:val="single" w:color="auto" w:sz="4" w:space="0"/>
              <w:right w:val="single" w:color="auto" w:sz="4" w:space="0"/>
            </w:tcBorders>
            <w:noWrap w:val="0"/>
            <w:vAlign w:val="top"/>
          </w:tcPr>
          <w:p>
            <w:pPr>
              <w:widowControl/>
              <w:rPr>
                <w:sz w:val="24"/>
                <w:szCs w:val="24"/>
              </w:rPr>
            </w:pPr>
          </w:p>
        </w:tc>
      </w:tr>
    </w:tbl>
    <w:p>
      <w:pPr>
        <w:jc w:val="center"/>
        <w:rPr>
          <w:rFonts w:hint="eastAsia" w:ascii="宋体" w:hAnsi="宋体"/>
          <w:b/>
          <w:bCs/>
          <w:sz w:val="32"/>
          <w:szCs w:val="32"/>
        </w:rPr>
      </w:pPr>
      <w:r>
        <w:rPr>
          <w:rFonts w:ascii="宋体" w:hAnsi="宋体"/>
          <w:b/>
          <w:bCs/>
          <w:sz w:val="32"/>
          <w:szCs w:val="32"/>
        </w:rPr>
        <w:br w:type="page"/>
      </w:r>
      <w:r>
        <w:rPr>
          <w:rFonts w:hint="eastAsia" w:ascii="宋体" w:hAnsi="宋体"/>
          <w:b/>
          <w:bCs/>
          <w:sz w:val="32"/>
          <w:szCs w:val="32"/>
          <w:lang w:eastAsia="zh-CN"/>
        </w:rPr>
        <w:t>谈判</w:t>
      </w:r>
      <w:r>
        <w:rPr>
          <w:rFonts w:hint="eastAsia" w:ascii="宋体" w:hAnsi="宋体"/>
          <w:b/>
          <w:bCs/>
          <w:sz w:val="32"/>
          <w:szCs w:val="32"/>
        </w:rPr>
        <w:t>文件目录</w:t>
      </w:r>
    </w:p>
    <w:p>
      <w:pPr>
        <w:jc w:val="center"/>
        <w:rPr>
          <w:rFonts w:hint="eastAsia" w:ascii="宋体" w:hAnsi="宋体"/>
          <w:b/>
          <w:bCs/>
          <w:sz w:val="32"/>
          <w:szCs w:val="32"/>
        </w:rPr>
      </w:pPr>
    </w:p>
    <w:p>
      <w:pPr>
        <w:jc w:val="center"/>
        <w:rPr>
          <w:rFonts w:hint="eastAsia" w:ascii="宋体" w:hAnsi="宋体"/>
          <w:b/>
          <w:bCs/>
          <w:sz w:val="32"/>
          <w:szCs w:val="32"/>
        </w:rPr>
      </w:pPr>
    </w:p>
    <w:p>
      <w:pPr>
        <w:tabs>
          <w:tab w:val="left" w:pos="5580"/>
        </w:tabs>
        <w:jc w:val="left"/>
        <w:rPr>
          <w:rFonts w:ascii="宋体" w:hAnsi="宋体"/>
          <w:sz w:val="28"/>
          <w:szCs w:val="28"/>
        </w:rPr>
      </w:pPr>
      <w:r>
        <w:rPr>
          <w:rFonts w:hint="eastAsia" w:ascii="宋体" w:hAnsi="宋体"/>
          <w:sz w:val="28"/>
          <w:szCs w:val="28"/>
        </w:rPr>
        <w:t>一、资格性和符合性检查响应对照表</w:t>
      </w:r>
    </w:p>
    <w:p>
      <w:pPr>
        <w:tabs>
          <w:tab w:val="left" w:pos="5580"/>
        </w:tabs>
        <w:jc w:val="left"/>
        <w:rPr>
          <w:rFonts w:ascii="宋体" w:hAnsi="宋体"/>
          <w:sz w:val="28"/>
          <w:szCs w:val="28"/>
        </w:rPr>
      </w:pPr>
      <w:r>
        <w:rPr>
          <w:rFonts w:hint="eastAsia" w:ascii="宋体" w:hAnsi="宋体"/>
          <w:sz w:val="28"/>
          <w:szCs w:val="28"/>
        </w:rPr>
        <w:t>二、资质证明文件要求</w:t>
      </w:r>
    </w:p>
    <w:p>
      <w:pPr>
        <w:tabs>
          <w:tab w:val="left" w:pos="5580"/>
        </w:tabs>
        <w:jc w:val="left"/>
        <w:rPr>
          <w:rFonts w:hint="eastAsia" w:ascii="宋体" w:hAnsi="宋体"/>
          <w:sz w:val="28"/>
          <w:szCs w:val="28"/>
        </w:rPr>
      </w:pPr>
      <w:r>
        <w:rPr>
          <w:rFonts w:hint="eastAsia" w:ascii="宋体" w:hAnsi="宋体"/>
          <w:sz w:val="28"/>
          <w:szCs w:val="28"/>
        </w:rPr>
        <w:t>三、</w:t>
      </w:r>
      <w:r>
        <w:rPr>
          <w:rFonts w:hint="eastAsia" w:ascii="宋体" w:hAnsi="宋体"/>
          <w:sz w:val="28"/>
          <w:szCs w:val="28"/>
          <w:lang w:eastAsia="zh-CN"/>
        </w:rPr>
        <w:t>响</w:t>
      </w:r>
      <w:r>
        <w:rPr>
          <w:rFonts w:hint="eastAsia" w:ascii="宋体" w:hAnsi="宋体"/>
          <w:sz w:val="28"/>
          <w:szCs w:val="28"/>
        </w:rPr>
        <w:t>应偏离表</w:t>
      </w:r>
    </w:p>
    <w:p>
      <w:pPr>
        <w:tabs>
          <w:tab w:val="left" w:pos="5580"/>
        </w:tabs>
        <w:jc w:val="left"/>
        <w:rPr>
          <w:rFonts w:hint="eastAsia" w:ascii="宋体" w:hAnsi="宋体"/>
          <w:sz w:val="28"/>
          <w:szCs w:val="28"/>
          <w:lang w:eastAsia="zh-CN"/>
        </w:rPr>
      </w:pPr>
      <w:r>
        <w:rPr>
          <w:rFonts w:hint="eastAsia" w:ascii="宋体" w:hAnsi="宋体"/>
          <w:sz w:val="28"/>
          <w:szCs w:val="28"/>
          <w:lang w:eastAsia="zh-CN"/>
        </w:rPr>
        <w:t>四、</w:t>
      </w:r>
      <w:r>
        <w:rPr>
          <w:rFonts w:hint="eastAsia" w:ascii="宋体" w:hAnsi="宋体"/>
          <w:sz w:val="28"/>
          <w:szCs w:val="28"/>
          <w:lang w:eastAsia="zh-CN"/>
        </w:rPr>
        <w:t>报价一览表</w:t>
      </w:r>
    </w:p>
    <w:p>
      <w:pPr>
        <w:pStyle w:val="6"/>
        <w:rPr>
          <w:rFonts w:hint="eastAsia" w:ascii="宋体" w:hAnsi="宋体"/>
          <w:sz w:val="28"/>
          <w:szCs w:val="28"/>
        </w:rPr>
      </w:pPr>
    </w:p>
    <w:p>
      <w:pPr>
        <w:pStyle w:val="6"/>
        <w:rPr>
          <w:rFonts w:hint="eastAsia" w:ascii="宋体" w:hAnsi="宋体"/>
          <w:sz w:val="28"/>
          <w:szCs w:val="28"/>
        </w:rPr>
      </w:pPr>
    </w:p>
    <w:p>
      <w:pPr>
        <w:pStyle w:val="6"/>
        <w:rPr>
          <w:rFonts w:hint="eastAsia" w:ascii="宋体" w:hAnsi="宋体"/>
          <w:sz w:val="28"/>
          <w:szCs w:val="28"/>
        </w:rPr>
      </w:pPr>
    </w:p>
    <w:p>
      <w:pPr>
        <w:pStyle w:val="6"/>
        <w:rPr>
          <w:rFonts w:hint="eastAsia" w:ascii="宋体" w:hAnsi="宋体"/>
          <w:sz w:val="28"/>
          <w:szCs w:val="28"/>
        </w:rPr>
      </w:pPr>
    </w:p>
    <w:p>
      <w:pPr>
        <w:widowControl/>
        <w:jc w:val="center"/>
        <w:rPr>
          <w:rFonts w:hint="eastAsia" w:ascii="宋体" w:hAnsi="宋体"/>
          <w:b/>
          <w:sz w:val="36"/>
          <w:szCs w:val="21"/>
        </w:rPr>
      </w:pPr>
    </w:p>
    <w:p>
      <w:pPr>
        <w:widowControl/>
        <w:jc w:val="center"/>
        <w:rPr>
          <w:rFonts w:hint="eastAsia" w:ascii="宋体" w:hAnsi="宋体"/>
          <w:b/>
          <w:sz w:val="36"/>
          <w:szCs w:val="21"/>
        </w:rPr>
      </w:pPr>
    </w:p>
    <w:p>
      <w:pPr>
        <w:widowControl/>
        <w:jc w:val="center"/>
        <w:rPr>
          <w:rFonts w:hint="eastAsia" w:ascii="宋体" w:hAnsi="宋体"/>
          <w:b/>
          <w:sz w:val="36"/>
          <w:szCs w:val="21"/>
        </w:rPr>
      </w:pPr>
    </w:p>
    <w:p>
      <w:pPr>
        <w:widowControl/>
        <w:jc w:val="center"/>
        <w:rPr>
          <w:rFonts w:hint="eastAsia" w:ascii="宋体" w:hAnsi="宋体"/>
          <w:b/>
          <w:sz w:val="36"/>
          <w:szCs w:val="21"/>
        </w:rPr>
      </w:pPr>
    </w:p>
    <w:p>
      <w:pPr>
        <w:widowControl/>
        <w:jc w:val="center"/>
        <w:rPr>
          <w:rFonts w:hint="eastAsia" w:ascii="宋体" w:hAnsi="宋体"/>
          <w:b/>
          <w:sz w:val="36"/>
          <w:szCs w:val="21"/>
        </w:rPr>
      </w:pPr>
    </w:p>
    <w:p>
      <w:pPr>
        <w:widowControl/>
        <w:jc w:val="center"/>
        <w:rPr>
          <w:rFonts w:hint="eastAsia" w:ascii="宋体" w:hAnsi="宋体"/>
          <w:b/>
          <w:sz w:val="36"/>
          <w:szCs w:val="21"/>
        </w:rPr>
      </w:pPr>
    </w:p>
    <w:p>
      <w:pPr>
        <w:widowControl/>
        <w:jc w:val="center"/>
        <w:rPr>
          <w:rFonts w:hint="eastAsia" w:ascii="宋体" w:hAnsi="宋体"/>
          <w:b/>
          <w:sz w:val="36"/>
          <w:szCs w:val="21"/>
        </w:rPr>
      </w:pPr>
    </w:p>
    <w:p>
      <w:pPr>
        <w:widowControl/>
        <w:jc w:val="center"/>
        <w:rPr>
          <w:rFonts w:hint="eastAsia" w:ascii="宋体" w:hAnsi="宋体"/>
          <w:b/>
          <w:sz w:val="36"/>
          <w:szCs w:val="21"/>
        </w:rPr>
      </w:pPr>
    </w:p>
    <w:p>
      <w:pPr>
        <w:widowControl/>
        <w:jc w:val="center"/>
        <w:rPr>
          <w:rFonts w:hint="eastAsia" w:ascii="宋体" w:hAnsi="宋体"/>
          <w:b/>
          <w:sz w:val="36"/>
          <w:szCs w:val="21"/>
        </w:rPr>
      </w:pPr>
    </w:p>
    <w:p>
      <w:pPr>
        <w:widowControl/>
        <w:jc w:val="center"/>
        <w:rPr>
          <w:rFonts w:hint="eastAsia" w:ascii="宋体" w:hAnsi="宋体"/>
          <w:b/>
          <w:sz w:val="36"/>
          <w:szCs w:val="21"/>
        </w:rPr>
      </w:pPr>
    </w:p>
    <w:p>
      <w:pPr>
        <w:rPr>
          <w:rFonts w:hint="eastAsia" w:ascii="宋体" w:hAnsi="宋体"/>
          <w:b/>
          <w:sz w:val="36"/>
          <w:szCs w:val="21"/>
        </w:rPr>
      </w:pPr>
      <w:r>
        <w:rPr>
          <w:rFonts w:hint="eastAsia" w:ascii="宋体" w:hAnsi="宋体"/>
          <w:b/>
          <w:sz w:val="36"/>
          <w:szCs w:val="21"/>
        </w:rPr>
        <w:br w:type="page"/>
      </w:r>
    </w:p>
    <w:p>
      <w:pPr>
        <w:widowControl/>
        <w:jc w:val="center"/>
        <w:rPr>
          <w:rStyle w:val="14"/>
          <w:rFonts w:ascii="宋体" w:hAnsi="宋体"/>
          <w:sz w:val="24"/>
        </w:rPr>
      </w:pPr>
      <w:r>
        <w:rPr>
          <w:rFonts w:hint="eastAsia" w:ascii="宋体" w:hAnsi="宋体"/>
          <w:b/>
          <w:sz w:val="36"/>
          <w:szCs w:val="21"/>
        </w:rPr>
        <w:t>一</w:t>
      </w:r>
      <w:r>
        <w:rPr>
          <w:rFonts w:ascii="宋体" w:hAnsi="宋体"/>
          <w:b/>
          <w:sz w:val="36"/>
          <w:szCs w:val="21"/>
        </w:rPr>
        <w:t>、</w:t>
      </w:r>
      <w:r>
        <w:rPr>
          <w:rStyle w:val="14"/>
          <w:rFonts w:hint="eastAsia" w:ascii="宋体" w:hAnsi="宋体"/>
          <w:sz w:val="24"/>
          <w:szCs w:val="21"/>
        </w:rPr>
        <w:t>资格性和符合性检查响应对照表</w:t>
      </w:r>
    </w:p>
    <w:p>
      <w:pPr>
        <w:ind w:firstLine="309"/>
        <w:rPr>
          <w:rFonts w:ascii="宋体" w:hAnsi="宋体"/>
        </w:rPr>
      </w:pPr>
    </w:p>
    <w:tbl>
      <w:tblPr>
        <w:tblStyle w:val="9"/>
        <w:tblW w:w="96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551"/>
        <w:gridCol w:w="175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730" w:type="dxa"/>
            <w:noWrap w:val="0"/>
            <w:vAlign w:val="center"/>
          </w:tcPr>
          <w:p>
            <w:pPr>
              <w:snapToGrid w:val="0"/>
              <w:jc w:val="center"/>
              <w:rPr>
                <w:rFonts w:ascii="宋体" w:hAnsi="宋体"/>
                <w:b/>
              </w:rPr>
            </w:pPr>
            <w:r>
              <w:rPr>
                <w:rFonts w:hint="eastAsia" w:ascii="宋体" w:hAnsi="宋体"/>
                <w:b/>
                <w:szCs w:val="21"/>
              </w:rPr>
              <w:t>序号</w:t>
            </w:r>
          </w:p>
        </w:tc>
        <w:tc>
          <w:tcPr>
            <w:tcW w:w="5551" w:type="dxa"/>
            <w:noWrap w:val="0"/>
            <w:vAlign w:val="center"/>
          </w:tcPr>
          <w:p>
            <w:pPr>
              <w:snapToGrid w:val="0"/>
              <w:jc w:val="center"/>
              <w:rPr>
                <w:rFonts w:ascii="宋体" w:hAnsi="宋体"/>
                <w:b/>
              </w:rPr>
            </w:pPr>
            <w:r>
              <w:rPr>
                <w:rFonts w:hint="eastAsia" w:ascii="宋体" w:hAnsi="宋体"/>
                <w:b/>
                <w:szCs w:val="21"/>
              </w:rPr>
              <w:t>资格和符合性检查响应内容</w:t>
            </w:r>
          </w:p>
        </w:tc>
        <w:tc>
          <w:tcPr>
            <w:tcW w:w="1753" w:type="dxa"/>
            <w:noWrap w:val="0"/>
            <w:vAlign w:val="center"/>
          </w:tcPr>
          <w:p>
            <w:pPr>
              <w:snapToGrid w:val="0"/>
              <w:jc w:val="center"/>
              <w:rPr>
                <w:rFonts w:ascii="宋体" w:hAnsi="宋体"/>
                <w:b/>
              </w:rPr>
            </w:pPr>
            <w:r>
              <w:rPr>
                <w:rFonts w:hint="eastAsia" w:ascii="宋体" w:hAnsi="宋体"/>
                <w:b/>
                <w:szCs w:val="21"/>
              </w:rPr>
              <w:t>是否响应</w:t>
            </w:r>
          </w:p>
          <w:p>
            <w:pPr>
              <w:snapToGrid w:val="0"/>
              <w:jc w:val="center"/>
              <w:rPr>
                <w:rFonts w:ascii="宋体" w:hAnsi="宋体"/>
                <w:b/>
              </w:rPr>
            </w:pPr>
            <w:r>
              <w:rPr>
                <w:rFonts w:hint="eastAsia" w:ascii="宋体" w:hAnsi="宋体"/>
                <w:b/>
                <w:szCs w:val="21"/>
              </w:rPr>
              <w:t>（填是或者否）</w:t>
            </w:r>
          </w:p>
        </w:tc>
        <w:tc>
          <w:tcPr>
            <w:tcW w:w="1605" w:type="dxa"/>
            <w:noWrap w:val="0"/>
            <w:vAlign w:val="center"/>
          </w:tcPr>
          <w:p>
            <w:pPr>
              <w:snapToGrid w:val="0"/>
              <w:jc w:val="center"/>
              <w:rPr>
                <w:rFonts w:ascii="宋体" w:hAnsi="宋体"/>
                <w:b/>
              </w:rPr>
            </w:pPr>
            <w:r>
              <w:rPr>
                <w:rFonts w:hint="eastAsia" w:ascii="宋体" w:hAnsi="宋体"/>
                <w:b/>
                <w:szCs w:val="21"/>
              </w:rPr>
              <w:t>响应文件中的</w:t>
            </w:r>
          </w:p>
          <w:p>
            <w:pPr>
              <w:snapToGrid w:val="0"/>
              <w:jc w:val="center"/>
              <w:rPr>
                <w:rFonts w:ascii="宋体" w:hAnsi="宋体"/>
                <w:b/>
              </w:rPr>
            </w:pPr>
            <w:r>
              <w:rPr>
                <w:rFonts w:hint="eastAsia" w:ascii="宋体" w:hAnsi="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30" w:type="dxa"/>
            <w:noWrap w:val="0"/>
            <w:vAlign w:val="center"/>
          </w:tcPr>
          <w:p>
            <w:pPr>
              <w:jc w:val="center"/>
              <w:rPr>
                <w:rFonts w:ascii="宋体" w:hAnsi="宋体"/>
                <w:iCs/>
              </w:rPr>
            </w:pPr>
            <w:r>
              <w:rPr>
                <w:rFonts w:hint="eastAsia" w:ascii="宋体" w:hAnsi="宋体"/>
                <w:iCs/>
                <w:szCs w:val="21"/>
              </w:rPr>
              <w:t>1</w:t>
            </w:r>
          </w:p>
        </w:tc>
        <w:tc>
          <w:tcPr>
            <w:tcW w:w="5551" w:type="dxa"/>
            <w:noWrap w:val="0"/>
            <w:vAlign w:val="center"/>
          </w:tcPr>
          <w:p>
            <w:pPr>
              <w:rPr>
                <w:rFonts w:ascii="宋体" w:hAnsi="宋体"/>
                <w:iCs/>
              </w:rPr>
            </w:pPr>
          </w:p>
        </w:tc>
        <w:tc>
          <w:tcPr>
            <w:tcW w:w="1753" w:type="dxa"/>
            <w:noWrap w:val="0"/>
            <w:vAlign w:val="center"/>
          </w:tcPr>
          <w:p>
            <w:pPr>
              <w:jc w:val="center"/>
              <w:rPr>
                <w:rFonts w:ascii="宋体" w:hAnsi="宋体"/>
                <w:b/>
              </w:rPr>
            </w:pPr>
          </w:p>
        </w:tc>
        <w:tc>
          <w:tcPr>
            <w:tcW w:w="1605" w:type="dxa"/>
            <w:noWrap w:val="0"/>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0" w:type="dxa"/>
            <w:noWrap w:val="0"/>
            <w:vAlign w:val="center"/>
          </w:tcPr>
          <w:p>
            <w:pPr>
              <w:jc w:val="center"/>
              <w:rPr>
                <w:rFonts w:ascii="宋体" w:hAnsi="宋体"/>
                <w:iCs/>
              </w:rPr>
            </w:pPr>
            <w:r>
              <w:rPr>
                <w:rFonts w:hint="eastAsia" w:ascii="宋体" w:hAnsi="宋体"/>
                <w:iCs/>
                <w:szCs w:val="21"/>
              </w:rPr>
              <w:t>2</w:t>
            </w:r>
          </w:p>
        </w:tc>
        <w:tc>
          <w:tcPr>
            <w:tcW w:w="5551" w:type="dxa"/>
            <w:noWrap w:val="0"/>
            <w:vAlign w:val="center"/>
          </w:tcPr>
          <w:p>
            <w:pPr>
              <w:rPr>
                <w:rFonts w:ascii="宋体" w:hAnsi="宋体"/>
              </w:rPr>
            </w:pPr>
          </w:p>
        </w:tc>
        <w:tc>
          <w:tcPr>
            <w:tcW w:w="1753" w:type="dxa"/>
            <w:noWrap w:val="0"/>
            <w:vAlign w:val="center"/>
          </w:tcPr>
          <w:p>
            <w:pPr>
              <w:jc w:val="center"/>
              <w:rPr>
                <w:rFonts w:ascii="宋体" w:hAnsi="宋体"/>
              </w:rPr>
            </w:pPr>
          </w:p>
        </w:tc>
        <w:tc>
          <w:tcPr>
            <w:tcW w:w="1605"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30" w:type="dxa"/>
            <w:noWrap w:val="0"/>
            <w:vAlign w:val="center"/>
          </w:tcPr>
          <w:p>
            <w:pPr>
              <w:jc w:val="center"/>
              <w:rPr>
                <w:rFonts w:ascii="宋体" w:hAnsi="宋体"/>
                <w:iCs/>
              </w:rPr>
            </w:pPr>
            <w:r>
              <w:rPr>
                <w:rFonts w:hint="eastAsia" w:ascii="宋体" w:hAnsi="宋体"/>
                <w:iCs/>
                <w:szCs w:val="21"/>
              </w:rPr>
              <w:t>3</w:t>
            </w:r>
          </w:p>
        </w:tc>
        <w:tc>
          <w:tcPr>
            <w:tcW w:w="5551" w:type="dxa"/>
            <w:noWrap w:val="0"/>
            <w:vAlign w:val="center"/>
          </w:tcPr>
          <w:p>
            <w:pPr>
              <w:rPr>
                <w:rFonts w:ascii="宋体" w:hAnsi="宋体"/>
                <w:iCs/>
              </w:rPr>
            </w:pPr>
          </w:p>
        </w:tc>
        <w:tc>
          <w:tcPr>
            <w:tcW w:w="1753" w:type="dxa"/>
            <w:noWrap w:val="0"/>
            <w:vAlign w:val="center"/>
          </w:tcPr>
          <w:p>
            <w:pPr>
              <w:jc w:val="center"/>
              <w:rPr>
                <w:rFonts w:ascii="宋体" w:hAnsi="宋体"/>
              </w:rPr>
            </w:pPr>
          </w:p>
        </w:tc>
        <w:tc>
          <w:tcPr>
            <w:tcW w:w="1605"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30" w:type="dxa"/>
            <w:noWrap w:val="0"/>
            <w:vAlign w:val="center"/>
          </w:tcPr>
          <w:p>
            <w:pPr>
              <w:jc w:val="center"/>
              <w:rPr>
                <w:rFonts w:ascii="宋体" w:hAnsi="宋体"/>
                <w:iCs/>
              </w:rPr>
            </w:pPr>
            <w:r>
              <w:rPr>
                <w:rFonts w:ascii="宋体" w:hAnsi="宋体"/>
                <w:iCs/>
                <w:szCs w:val="21"/>
              </w:rPr>
              <w:t>4</w:t>
            </w:r>
          </w:p>
        </w:tc>
        <w:tc>
          <w:tcPr>
            <w:tcW w:w="5551" w:type="dxa"/>
            <w:noWrap w:val="0"/>
            <w:vAlign w:val="center"/>
          </w:tcPr>
          <w:p>
            <w:pPr>
              <w:autoSpaceDE w:val="0"/>
              <w:autoSpaceDN w:val="0"/>
              <w:rPr>
                <w:rFonts w:ascii="宋体" w:hAnsi="宋体"/>
                <w:iCs/>
              </w:rPr>
            </w:pPr>
          </w:p>
        </w:tc>
        <w:tc>
          <w:tcPr>
            <w:tcW w:w="1753" w:type="dxa"/>
            <w:noWrap w:val="0"/>
            <w:vAlign w:val="center"/>
          </w:tcPr>
          <w:p>
            <w:pPr>
              <w:jc w:val="center"/>
              <w:rPr>
                <w:rFonts w:ascii="宋体" w:hAnsi="宋体"/>
              </w:rPr>
            </w:pPr>
          </w:p>
        </w:tc>
        <w:tc>
          <w:tcPr>
            <w:tcW w:w="1605"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0" w:type="dxa"/>
            <w:noWrap w:val="0"/>
            <w:vAlign w:val="center"/>
          </w:tcPr>
          <w:p>
            <w:pPr>
              <w:jc w:val="center"/>
              <w:rPr>
                <w:rFonts w:ascii="宋体" w:hAnsi="宋体"/>
                <w:iCs/>
              </w:rPr>
            </w:pPr>
            <w:r>
              <w:rPr>
                <w:rFonts w:ascii="宋体" w:hAnsi="宋体"/>
                <w:iCs/>
                <w:szCs w:val="21"/>
              </w:rPr>
              <w:t>5</w:t>
            </w:r>
          </w:p>
        </w:tc>
        <w:tc>
          <w:tcPr>
            <w:tcW w:w="5551" w:type="dxa"/>
            <w:noWrap w:val="0"/>
            <w:vAlign w:val="center"/>
          </w:tcPr>
          <w:p>
            <w:pPr>
              <w:autoSpaceDE w:val="0"/>
              <w:autoSpaceDN w:val="0"/>
              <w:rPr>
                <w:rFonts w:ascii="宋体" w:hAnsi="宋体"/>
                <w:iCs/>
              </w:rPr>
            </w:pPr>
          </w:p>
        </w:tc>
        <w:tc>
          <w:tcPr>
            <w:tcW w:w="1753" w:type="dxa"/>
            <w:noWrap w:val="0"/>
            <w:vAlign w:val="center"/>
          </w:tcPr>
          <w:p>
            <w:pPr>
              <w:jc w:val="center"/>
              <w:rPr>
                <w:rFonts w:ascii="宋体" w:hAnsi="宋体"/>
              </w:rPr>
            </w:pPr>
          </w:p>
        </w:tc>
        <w:tc>
          <w:tcPr>
            <w:tcW w:w="1605"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30" w:type="dxa"/>
            <w:noWrap w:val="0"/>
            <w:vAlign w:val="center"/>
          </w:tcPr>
          <w:p>
            <w:pPr>
              <w:jc w:val="center"/>
              <w:rPr>
                <w:rFonts w:ascii="宋体" w:hAnsi="宋体"/>
                <w:iCs/>
              </w:rPr>
            </w:pPr>
            <w:r>
              <w:rPr>
                <w:rFonts w:ascii="宋体" w:hAnsi="宋体"/>
                <w:iCs/>
                <w:szCs w:val="21"/>
              </w:rPr>
              <w:t>6</w:t>
            </w:r>
          </w:p>
        </w:tc>
        <w:tc>
          <w:tcPr>
            <w:tcW w:w="5551" w:type="dxa"/>
            <w:noWrap w:val="0"/>
            <w:vAlign w:val="center"/>
          </w:tcPr>
          <w:p>
            <w:pPr>
              <w:autoSpaceDE w:val="0"/>
              <w:autoSpaceDN w:val="0"/>
              <w:rPr>
                <w:rFonts w:ascii="宋体" w:hAnsi="宋体"/>
                <w:iCs/>
              </w:rPr>
            </w:pPr>
          </w:p>
        </w:tc>
        <w:tc>
          <w:tcPr>
            <w:tcW w:w="1753" w:type="dxa"/>
            <w:noWrap w:val="0"/>
            <w:vAlign w:val="center"/>
          </w:tcPr>
          <w:p>
            <w:pPr>
              <w:jc w:val="center"/>
              <w:rPr>
                <w:rFonts w:ascii="宋体" w:hAnsi="宋体"/>
              </w:rPr>
            </w:pPr>
          </w:p>
        </w:tc>
        <w:tc>
          <w:tcPr>
            <w:tcW w:w="1605"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730" w:type="dxa"/>
            <w:noWrap w:val="0"/>
            <w:vAlign w:val="center"/>
          </w:tcPr>
          <w:p>
            <w:pPr>
              <w:jc w:val="center"/>
              <w:rPr>
                <w:rFonts w:ascii="宋体" w:hAnsi="宋体"/>
                <w:iCs/>
              </w:rPr>
            </w:pPr>
            <w:r>
              <w:rPr>
                <w:rFonts w:ascii="宋体" w:hAnsi="宋体"/>
                <w:iCs/>
                <w:szCs w:val="21"/>
              </w:rPr>
              <w:t>7</w:t>
            </w:r>
          </w:p>
        </w:tc>
        <w:tc>
          <w:tcPr>
            <w:tcW w:w="5551" w:type="dxa"/>
            <w:noWrap w:val="0"/>
            <w:vAlign w:val="center"/>
          </w:tcPr>
          <w:p>
            <w:pPr>
              <w:widowControl/>
              <w:spacing w:line="500" w:lineRule="exact"/>
              <w:rPr>
                <w:rFonts w:ascii="宋体" w:hAnsi="宋体"/>
                <w:iCs/>
              </w:rPr>
            </w:pPr>
          </w:p>
        </w:tc>
        <w:tc>
          <w:tcPr>
            <w:tcW w:w="1753" w:type="dxa"/>
            <w:noWrap w:val="0"/>
            <w:vAlign w:val="center"/>
          </w:tcPr>
          <w:p>
            <w:pPr>
              <w:jc w:val="center"/>
              <w:rPr>
                <w:rFonts w:ascii="宋体" w:hAnsi="宋体"/>
              </w:rPr>
            </w:pPr>
          </w:p>
        </w:tc>
        <w:tc>
          <w:tcPr>
            <w:tcW w:w="1605"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730" w:type="dxa"/>
            <w:noWrap w:val="0"/>
            <w:vAlign w:val="center"/>
          </w:tcPr>
          <w:p>
            <w:pPr>
              <w:jc w:val="center"/>
              <w:rPr>
                <w:rFonts w:ascii="宋体" w:hAnsi="宋体"/>
                <w:iCs/>
                <w:szCs w:val="21"/>
              </w:rPr>
            </w:pPr>
            <w:r>
              <w:rPr>
                <w:rFonts w:hint="eastAsia" w:ascii="宋体" w:hAnsi="宋体"/>
                <w:iCs/>
                <w:szCs w:val="21"/>
              </w:rPr>
              <w:t>8</w:t>
            </w:r>
          </w:p>
        </w:tc>
        <w:tc>
          <w:tcPr>
            <w:tcW w:w="5551" w:type="dxa"/>
            <w:noWrap w:val="0"/>
            <w:vAlign w:val="center"/>
          </w:tcPr>
          <w:p>
            <w:pPr>
              <w:widowControl/>
              <w:spacing w:line="500" w:lineRule="exact"/>
              <w:rPr>
                <w:rFonts w:hint="eastAsia" w:ascii="宋体" w:hAnsi="宋体"/>
                <w:iCs/>
              </w:rPr>
            </w:pPr>
          </w:p>
        </w:tc>
        <w:tc>
          <w:tcPr>
            <w:tcW w:w="1753" w:type="dxa"/>
            <w:noWrap w:val="0"/>
            <w:vAlign w:val="center"/>
          </w:tcPr>
          <w:p>
            <w:pPr>
              <w:jc w:val="center"/>
              <w:rPr>
                <w:rFonts w:ascii="宋体" w:hAnsi="宋体"/>
              </w:rPr>
            </w:pPr>
          </w:p>
        </w:tc>
        <w:tc>
          <w:tcPr>
            <w:tcW w:w="1605"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730" w:type="dxa"/>
            <w:noWrap w:val="0"/>
            <w:vAlign w:val="center"/>
          </w:tcPr>
          <w:p>
            <w:pPr>
              <w:jc w:val="center"/>
              <w:rPr>
                <w:rFonts w:hint="eastAsia" w:ascii="宋体" w:hAnsi="宋体"/>
                <w:iCs/>
                <w:szCs w:val="21"/>
              </w:rPr>
            </w:pPr>
            <w:r>
              <w:rPr>
                <w:rFonts w:hint="eastAsia" w:ascii="宋体" w:hAnsi="宋体"/>
                <w:iCs/>
                <w:szCs w:val="21"/>
              </w:rPr>
              <w:t>9</w:t>
            </w:r>
          </w:p>
        </w:tc>
        <w:tc>
          <w:tcPr>
            <w:tcW w:w="5551" w:type="dxa"/>
            <w:noWrap w:val="0"/>
            <w:vAlign w:val="center"/>
          </w:tcPr>
          <w:p>
            <w:pPr>
              <w:widowControl/>
              <w:spacing w:line="500" w:lineRule="exact"/>
              <w:rPr>
                <w:rFonts w:hint="eastAsia" w:ascii="宋体" w:hAnsi="宋体"/>
                <w:iCs/>
              </w:rPr>
            </w:pPr>
          </w:p>
        </w:tc>
        <w:tc>
          <w:tcPr>
            <w:tcW w:w="1753" w:type="dxa"/>
            <w:noWrap w:val="0"/>
            <w:vAlign w:val="center"/>
          </w:tcPr>
          <w:p>
            <w:pPr>
              <w:jc w:val="center"/>
              <w:rPr>
                <w:rFonts w:ascii="宋体" w:hAnsi="宋体"/>
              </w:rPr>
            </w:pPr>
          </w:p>
        </w:tc>
        <w:tc>
          <w:tcPr>
            <w:tcW w:w="1605" w:type="dxa"/>
            <w:noWrap w:val="0"/>
            <w:vAlign w:val="center"/>
          </w:tcPr>
          <w:p>
            <w:pPr>
              <w:jc w:val="center"/>
              <w:rPr>
                <w:rFonts w:ascii="宋体" w:hAnsi="宋体"/>
              </w:rPr>
            </w:pPr>
          </w:p>
        </w:tc>
      </w:tr>
    </w:tbl>
    <w:p>
      <w:pPr>
        <w:rPr>
          <w:rFonts w:ascii="宋体" w:hAnsi="宋体"/>
          <w:b/>
        </w:rPr>
      </w:pPr>
    </w:p>
    <w:p>
      <w:pPr>
        <w:ind w:firstLine="309"/>
        <w:rPr>
          <w:rFonts w:ascii="宋体" w:hAnsi="宋体"/>
        </w:rPr>
      </w:pPr>
      <w:r>
        <w:rPr>
          <w:rFonts w:hint="eastAsia" w:ascii="宋体" w:hAnsi="宋体"/>
          <w:szCs w:val="21"/>
        </w:rPr>
        <w:t>供应商全称（加盖公章）：</w:t>
      </w:r>
    </w:p>
    <w:p>
      <w:pPr>
        <w:widowControl/>
        <w:jc w:val="left"/>
        <w:rPr>
          <w:rFonts w:ascii="宋体" w:hAnsi="宋体"/>
          <w:b/>
        </w:rPr>
      </w:pPr>
    </w:p>
    <w:p>
      <w:pPr>
        <w:widowControl/>
        <w:jc w:val="left"/>
        <w:rPr>
          <w:rFonts w:hint="eastAsia" w:ascii="宋体" w:hAnsi="宋体"/>
          <w:b/>
          <w:sz w:val="36"/>
          <w:szCs w:val="21"/>
        </w:rPr>
      </w:pPr>
      <w:r>
        <w:rPr>
          <w:rFonts w:hint="eastAsia" w:ascii="宋体" w:hAnsi="宋体"/>
          <w:b/>
          <w:sz w:val="36"/>
          <w:szCs w:val="21"/>
        </w:rPr>
        <w:t>二、资质证明文件要求</w:t>
      </w:r>
    </w:p>
    <w:p>
      <w:pPr>
        <w:jc w:val="both"/>
      </w:pPr>
    </w:p>
    <w:p>
      <w:pPr>
        <w:pStyle w:val="15"/>
        <w:spacing w:after="312" w:afterLines="100" w:line="360" w:lineRule="auto"/>
        <w:ind w:firstLine="422"/>
        <w:jc w:val="center"/>
        <w:rPr>
          <w:rFonts w:ascii="宋体" w:hAnsi="宋体"/>
          <w:b/>
          <w:sz w:val="21"/>
          <w:szCs w:val="21"/>
        </w:rPr>
      </w:pPr>
    </w:p>
    <w:p>
      <w:pPr>
        <w:pStyle w:val="15"/>
        <w:spacing w:after="312" w:afterLines="100" w:line="360" w:lineRule="auto"/>
        <w:ind w:firstLine="422"/>
        <w:jc w:val="center"/>
        <w:rPr>
          <w:rFonts w:hint="eastAsia" w:ascii="宋体" w:hAnsi="宋体"/>
          <w:b/>
          <w:sz w:val="21"/>
          <w:szCs w:val="21"/>
        </w:rPr>
      </w:pPr>
      <w:r>
        <w:rPr>
          <w:rFonts w:hint="eastAsia" w:ascii="宋体" w:hAnsi="宋体"/>
          <w:b/>
          <w:sz w:val="21"/>
          <w:szCs w:val="21"/>
        </w:rPr>
        <w:t>法人授权书</w:t>
      </w:r>
    </w:p>
    <w:p>
      <w:pPr>
        <w:pStyle w:val="15"/>
        <w:spacing w:line="360" w:lineRule="auto"/>
        <w:ind w:firstLine="420"/>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（被授权人的姓名）为我方就</w:t>
      </w:r>
      <w:r>
        <w:rPr>
          <w:rFonts w:hint="eastAsia" w:ascii="宋体" w:hAnsi="宋体"/>
          <w:sz w:val="21"/>
          <w:szCs w:val="21"/>
          <w:u w:val="single"/>
        </w:rPr>
        <w:t xml:space="preserve">           </w:t>
      </w:r>
      <w:r>
        <w:rPr>
          <w:rFonts w:hint="eastAsia" w:ascii="宋体" w:hAnsi="宋体"/>
          <w:sz w:val="21"/>
          <w:szCs w:val="21"/>
        </w:rPr>
        <w:t>号</w:t>
      </w:r>
      <w:r>
        <w:rPr>
          <w:rFonts w:hint="eastAsia" w:ascii="宋体" w:hAnsi="宋体"/>
          <w:bCs/>
          <w:sz w:val="21"/>
          <w:szCs w:val="21"/>
          <w:u w:val="single"/>
        </w:rPr>
        <w:t xml:space="preserve">        （项目名称）                </w:t>
      </w:r>
      <w:r>
        <w:rPr>
          <w:rFonts w:hint="eastAsia" w:ascii="宋体" w:hAnsi="宋体"/>
          <w:sz w:val="21"/>
          <w:szCs w:val="21"/>
        </w:rPr>
        <w:t>的合法代理人，以本公司名义全权处理一切与该项目采购有关的事务。</w:t>
      </w:r>
    </w:p>
    <w:p>
      <w:pPr>
        <w:pStyle w:val="15"/>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15"/>
        <w:spacing w:line="360" w:lineRule="auto"/>
        <w:ind w:firstLine="0" w:firstLineChars="0"/>
        <w:rPr>
          <w:rFonts w:ascii="宋体" w:hAnsi="宋体"/>
          <w:sz w:val="21"/>
          <w:szCs w:val="21"/>
        </w:rPr>
      </w:pPr>
      <w:r>
        <w:rPr>
          <w:rFonts w:ascii="宋体" w:hAnsi="宋体"/>
          <w:sz w:val="21"/>
          <w:szCs w:val="21"/>
        </w:rPr>
        <w:t xml:space="preserve">    </w:t>
      </w:r>
    </w:p>
    <w:p>
      <w:pPr>
        <w:pStyle w:val="15"/>
        <w:spacing w:line="360" w:lineRule="auto"/>
        <w:ind w:firstLine="420"/>
        <w:rPr>
          <w:rFonts w:hint="eastAsia" w:ascii="宋体" w:hAnsi="宋体"/>
          <w:sz w:val="21"/>
          <w:szCs w:val="21"/>
        </w:rPr>
      </w:pPr>
      <w:r>
        <w:rPr>
          <w:rFonts w:hint="eastAsia" w:ascii="宋体" w:hAnsi="宋体"/>
          <w:sz w:val="21"/>
          <w:szCs w:val="21"/>
        </w:rPr>
        <w:t>被授权人签字：</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15"/>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15"/>
        <w:spacing w:line="360" w:lineRule="auto"/>
        <w:ind w:firstLine="0" w:firstLineChars="0"/>
        <w:rPr>
          <w:rFonts w:ascii="宋体" w:hAnsi="宋体"/>
          <w:sz w:val="21"/>
          <w:szCs w:val="21"/>
        </w:rPr>
      </w:pPr>
      <w:r>
        <w:rPr>
          <w:rFonts w:ascii="宋体" w:hAnsi="宋体"/>
          <w:sz w:val="21"/>
          <w:szCs w:val="21"/>
        </w:rPr>
        <w:t xml:space="preserve">    </w:t>
      </w:r>
      <w:r>
        <w:rPr>
          <w:rFonts w:hint="eastAsia" w:ascii="宋体" w:hAnsi="宋体"/>
          <w:sz w:val="21"/>
          <w:szCs w:val="21"/>
        </w:rPr>
        <w:t>单位名称：</w:t>
      </w:r>
      <w:r>
        <w:rPr>
          <w:rFonts w:ascii="宋体" w:hAnsi="宋体"/>
          <w:sz w:val="21"/>
          <w:szCs w:val="21"/>
        </w:rPr>
        <w:t>____________________________________</w:t>
      </w:r>
    </w:p>
    <w:p>
      <w:pPr>
        <w:pStyle w:val="15"/>
        <w:spacing w:line="360" w:lineRule="auto"/>
        <w:ind w:firstLine="0" w:firstLineChars="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hint="eastAsia" w:ascii="宋体" w:hAnsi="宋体"/>
          <w:sz w:val="21"/>
          <w:szCs w:val="21"/>
        </w:rPr>
        <w:t>授权单位盖章：</w:t>
      </w:r>
      <w:r>
        <w:rPr>
          <w:rFonts w:ascii="宋体" w:hAnsi="宋体"/>
          <w:sz w:val="21"/>
          <w:szCs w:val="21"/>
        </w:rPr>
        <w:t>_________________________________</w:t>
      </w:r>
    </w:p>
    <w:p>
      <w:pPr>
        <w:pStyle w:val="15"/>
        <w:spacing w:line="360" w:lineRule="auto"/>
        <w:ind w:firstLine="420"/>
        <w:rPr>
          <w:sz w:val="21"/>
          <w:szCs w:val="21"/>
          <w:u w:val="single"/>
        </w:rPr>
      </w:pPr>
      <w:r>
        <w:rPr>
          <w:rFonts w:hint="eastAsia"/>
          <w:sz w:val="21"/>
          <w:szCs w:val="21"/>
        </w:rPr>
        <w:t>地址：</w:t>
      </w:r>
      <w:r>
        <w:rPr>
          <w:sz w:val="21"/>
          <w:szCs w:val="21"/>
          <w:u w:val="single"/>
        </w:rPr>
        <w:t xml:space="preserve">                                         </w:t>
      </w:r>
    </w:p>
    <w:p>
      <w:pPr>
        <w:pStyle w:val="15"/>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pPr>
        <w:spacing w:line="460" w:lineRule="exact"/>
        <w:rPr>
          <w:rFonts w:ascii="宋体" w:hAnsi="宋体"/>
          <w:bCs/>
          <w:szCs w:val="21"/>
        </w:rPr>
      </w:pPr>
    </w:p>
    <w:p>
      <w:pPr>
        <w:autoSpaceDE w:val="0"/>
        <w:autoSpaceDN w:val="0"/>
        <w:adjustRightInd w:val="0"/>
        <w:spacing w:line="360" w:lineRule="auto"/>
        <w:ind w:firstLine="420" w:firstLineChars="200"/>
        <w:jc w:val="left"/>
        <w:rPr>
          <w:rFonts w:hint="eastAsia" w:ascii="宋体" w:hAnsi="宋体" w:cs="微软雅黑"/>
          <w:kern w:val="0"/>
          <w:sz w:val="21"/>
          <w:szCs w:val="21"/>
        </w:rPr>
      </w:pPr>
    </w:p>
    <w:p>
      <w:pPr>
        <w:spacing w:line="460" w:lineRule="exact"/>
        <w:ind w:firstLine="420" w:firstLineChars="200"/>
        <w:rPr>
          <w:rFonts w:hint="eastAsia" w:ascii="宋体" w:hAnsi="宋体"/>
          <w:bCs/>
          <w:szCs w:val="21"/>
        </w:rPr>
      </w:pPr>
      <w:r>
        <w:rPr>
          <w:rFonts w:hint="eastAsia" w:ascii="宋体" w:hAnsi="宋体"/>
          <w:bCs/>
          <w:szCs w:val="21"/>
        </w:rPr>
        <w:t>被授权人身份证复印件：</w:t>
      </w:r>
    </w:p>
    <w:p>
      <w:pPr>
        <w:rPr>
          <w:rFonts w:hint="eastAsia" w:ascii="宋体" w:hAnsi="宋体"/>
          <w:bCs/>
          <w:szCs w:val="21"/>
        </w:rPr>
      </w:pPr>
      <w:r>
        <w:rPr>
          <w:rFonts w:hint="eastAsia" w:ascii="宋体" w:hAnsi="宋体"/>
          <w:bCs/>
          <w:szCs w:val="21"/>
        </w:rPr>
        <w:br w:type="page"/>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bCs/>
          <w:szCs w:val="21"/>
        </w:rPr>
      </w:pPr>
      <w:r>
        <w:rPr>
          <w:rFonts w:hint="eastAsia" w:ascii="宋体" w:hAnsi="宋体"/>
          <w:szCs w:val="21"/>
        </w:rPr>
        <w:t>参加本次采购活动前 3 年内在经营活动中没有重大违法记</w:t>
      </w:r>
      <w:r>
        <w:rPr>
          <w:rFonts w:hint="eastAsia" w:ascii="宋体" w:hAnsi="宋体"/>
          <w:bCs/>
          <w:szCs w:val="21"/>
        </w:rPr>
        <w:t>录的书面声明</w:t>
      </w:r>
    </w:p>
    <w:p>
      <w:pPr>
        <w:spacing w:line="360" w:lineRule="auto"/>
        <w:rPr>
          <w:rFonts w:hint="eastAsia" w:ascii="宋体" w:hAnsi="宋体"/>
          <w:szCs w:val="21"/>
        </w:rPr>
      </w:pPr>
    </w:p>
    <w:p>
      <w:pPr>
        <w:spacing w:after="312" w:afterLines="100" w:line="360" w:lineRule="auto"/>
        <w:jc w:val="center"/>
        <w:rPr>
          <w:rFonts w:hint="eastAsia" w:ascii="宋体" w:hAnsi="宋体"/>
          <w:b/>
          <w:bCs/>
          <w:szCs w:val="21"/>
        </w:rPr>
      </w:pPr>
      <w:r>
        <w:rPr>
          <w:rFonts w:hint="eastAsia" w:ascii="宋体" w:hAnsi="宋体"/>
          <w:b/>
          <w:bCs/>
          <w:szCs w:val="21"/>
        </w:rPr>
        <w:t>声  明</w:t>
      </w:r>
    </w:p>
    <w:p>
      <w:pPr>
        <w:spacing w:line="360" w:lineRule="auto"/>
        <w:rPr>
          <w:rFonts w:hint="eastAsia" w:ascii="宋体" w:hAnsi="宋体"/>
          <w:bCs/>
          <w:szCs w:val="21"/>
        </w:rPr>
      </w:pPr>
      <w:r>
        <w:rPr>
          <w:rFonts w:hint="eastAsia" w:ascii="宋体" w:hAnsi="宋体"/>
          <w:b/>
          <w:bCs/>
          <w:szCs w:val="21"/>
        </w:rPr>
        <w:t xml:space="preserve">    </w:t>
      </w:r>
      <w:r>
        <w:rPr>
          <w:rFonts w:hint="eastAsia" w:ascii="宋体" w:hAnsi="宋体"/>
          <w:bCs/>
          <w:szCs w:val="21"/>
        </w:rPr>
        <w:t>我公司郑重声明：参加本次采购活动前 3 年内，我公司在经营活动中没有因违法经营受到刑事处罚或者责令停产停业、吊销许可证或者执照、较大数额罚款等行政处罚。</w:t>
      </w:r>
    </w:p>
    <w:p>
      <w:pPr>
        <w:spacing w:line="360" w:lineRule="auto"/>
        <w:rPr>
          <w:rFonts w:hint="eastAsia" w:ascii="宋体" w:hAnsi="宋体"/>
          <w:bCs/>
          <w:szCs w:val="21"/>
        </w:rPr>
      </w:pPr>
      <w:r>
        <w:rPr>
          <w:rFonts w:hint="eastAsia" w:ascii="宋体" w:hAnsi="宋体"/>
          <w:bCs/>
          <w:szCs w:val="21"/>
        </w:rPr>
        <w:t xml:space="preserve">                               供应商名称（公章）：</w:t>
      </w:r>
    </w:p>
    <w:p>
      <w:pPr>
        <w:spacing w:line="360" w:lineRule="auto"/>
        <w:rPr>
          <w:rFonts w:hint="eastAsia" w:ascii="宋体" w:hAnsi="宋体"/>
          <w:bCs/>
          <w:szCs w:val="21"/>
        </w:rPr>
      </w:pPr>
      <w:r>
        <w:rPr>
          <w:rFonts w:hint="eastAsia" w:ascii="宋体" w:hAnsi="宋体"/>
          <w:bCs/>
          <w:szCs w:val="21"/>
        </w:rPr>
        <w:t xml:space="preserve">                               法定代表人或授权代表签字：</w:t>
      </w:r>
      <w:r>
        <w:rPr>
          <w:rFonts w:hint="eastAsia" w:ascii="宋体" w:hAnsi="宋体"/>
          <w:bCs/>
          <w:szCs w:val="21"/>
          <w:u w:val="single"/>
        </w:rPr>
        <w:t>_______________________</w:t>
      </w:r>
    </w:p>
    <w:p>
      <w:pPr>
        <w:spacing w:line="360" w:lineRule="auto"/>
        <w:rPr>
          <w:rFonts w:hint="eastAsia" w:ascii="宋体" w:hAnsi="宋体"/>
          <w:bCs/>
          <w:szCs w:val="21"/>
        </w:rPr>
      </w:pPr>
      <w:r>
        <w:rPr>
          <w:rFonts w:hint="eastAsia" w:ascii="宋体" w:hAnsi="宋体"/>
          <w:bCs/>
          <w:szCs w:val="21"/>
        </w:rPr>
        <w:t xml:space="preserve">                               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pStyle w:val="6"/>
        <w:rPr>
          <w:rFonts w:hint="eastAsia"/>
        </w:rPr>
      </w:pPr>
    </w:p>
    <w:p>
      <w:pPr>
        <w:rPr>
          <w:sz w:val="21"/>
          <w:szCs w:val="21"/>
        </w:rPr>
      </w:pPr>
      <w:r>
        <w:rPr>
          <w:sz w:val="21"/>
          <w:szCs w:val="21"/>
        </w:rPr>
        <w:br w:type="page"/>
      </w:r>
    </w:p>
    <w:p>
      <w:pPr>
        <w:widowControl/>
        <w:jc w:val="left"/>
        <w:rPr>
          <w:rFonts w:hint="eastAsia" w:ascii="宋体" w:hAnsi="宋体"/>
          <w:b/>
          <w:sz w:val="36"/>
          <w:szCs w:val="21"/>
        </w:rPr>
      </w:pPr>
      <w:r>
        <w:rPr>
          <w:rFonts w:hint="eastAsia" w:ascii="宋体" w:hAnsi="宋体"/>
          <w:b/>
          <w:sz w:val="36"/>
          <w:szCs w:val="21"/>
          <w:lang w:eastAsia="zh-CN"/>
        </w:rPr>
        <w:t>三、响</w:t>
      </w:r>
      <w:r>
        <w:rPr>
          <w:rFonts w:hint="eastAsia" w:ascii="宋体" w:hAnsi="宋体"/>
          <w:b/>
          <w:sz w:val="36"/>
          <w:szCs w:val="21"/>
        </w:rPr>
        <w:t>应偏离表</w:t>
      </w:r>
    </w:p>
    <w:p>
      <w:pPr>
        <w:pStyle w:val="6"/>
        <w:numPr>
          <w:numId w:val="0"/>
        </w:numPr>
        <w:rPr>
          <w:rFonts w:hint="eastAsia"/>
        </w:rPr>
      </w:pPr>
    </w:p>
    <w:tbl>
      <w:tblPr>
        <w:tblStyle w:val="9"/>
        <w:tblW w:w="8783" w:type="dxa"/>
        <w:jc w:val="center"/>
        <w:tblLayout w:type="fixed"/>
        <w:tblCellMar>
          <w:top w:w="0" w:type="dxa"/>
          <w:left w:w="0" w:type="dxa"/>
          <w:bottom w:w="0" w:type="dxa"/>
          <w:right w:w="0" w:type="dxa"/>
        </w:tblCellMar>
      </w:tblPr>
      <w:tblGrid>
        <w:gridCol w:w="622"/>
        <w:gridCol w:w="142"/>
        <w:gridCol w:w="3386"/>
        <w:gridCol w:w="375"/>
        <w:gridCol w:w="1298"/>
        <w:gridCol w:w="1714"/>
        <w:gridCol w:w="1246"/>
      </w:tblGrid>
      <w:tr>
        <w:tblPrEx>
          <w:tblCellMar>
            <w:top w:w="0" w:type="dxa"/>
            <w:left w:w="0" w:type="dxa"/>
            <w:bottom w:w="0" w:type="dxa"/>
            <w:right w:w="0" w:type="dxa"/>
          </w:tblCellMar>
        </w:tblPrEx>
        <w:trPr>
          <w:trHeight w:val="551" w:hRule="atLeast"/>
          <w:jc w:val="center"/>
        </w:trPr>
        <w:tc>
          <w:tcPr>
            <w:tcW w:w="8783" w:type="dxa"/>
            <w:gridSpan w:val="7"/>
            <w:tcBorders>
              <w:top w:val="nil"/>
              <w:left w:val="nil"/>
              <w:bottom w:val="single" w:color="auto" w:sz="8" w:space="0"/>
              <w:right w:val="nil"/>
            </w:tcBorders>
            <w:noWrap w:val="0"/>
            <w:tcMar>
              <w:top w:w="0" w:type="dxa"/>
              <w:left w:w="10" w:type="dxa"/>
              <w:bottom w:w="0" w:type="dxa"/>
              <w:right w:w="10" w:type="dxa"/>
            </w:tcMar>
            <w:vAlign w:val="center"/>
          </w:tcPr>
          <w:p>
            <w:pPr>
              <w:ind w:left="-31" w:leftChars="-15" w:right="-365" w:rightChars="-174" w:firstLine="28" w:firstLineChars="12"/>
              <w:rPr>
                <w:rFonts w:hint="default" w:hAnsi="宋体" w:eastAsia="宋体" w:cs="Arial"/>
                <w:sz w:val="24"/>
                <w:lang w:val="en-US" w:eastAsia="zh-CN"/>
              </w:rPr>
            </w:pPr>
            <w:r>
              <w:rPr>
                <w:rFonts w:ascii="宋体" w:hAnsi="宋体" w:cs="Arial"/>
                <w:sz w:val="24"/>
              </w:rPr>
              <w:t>招标编号：</w:t>
            </w:r>
            <w:r>
              <w:rPr>
                <w:rFonts w:hAnsi="宋体" w:cs="Arial"/>
                <w:sz w:val="24"/>
              </w:rPr>
              <w:t>JSQY-20220</w:t>
            </w:r>
            <w:r>
              <w:rPr>
                <w:rFonts w:hint="eastAsia" w:hAnsi="宋体" w:cs="Arial"/>
                <w:sz w:val="24"/>
                <w:lang w:val="en-US" w:eastAsia="zh-CN"/>
              </w:rPr>
              <w:t>38</w:t>
            </w:r>
          </w:p>
        </w:tc>
      </w:tr>
      <w:tr>
        <w:tblPrEx>
          <w:tblCellMar>
            <w:top w:w="0" w:type="dxa"/>
            <w:left w:w="0" w:type="dxa"/>
            <w:bottom w:w="0" w:type="dxa"/>
            <w:right w:w="0" w:type="dxa"/>
          </w:tblCellMar>
        </w:tblPrEx>
        <w:trPr>
          <w:trHeight w:val="680" w:hRule="atLeast"/>
          <w:jc w:val="center"/>
        </w:trPr>
        <w:tc>
          <w:tcPr>
            <w:tcW w:w="76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r>
              <w:rPr>
                <w:rFonts w:hint="eastAsia" w:ascii="宋体" w:hAnsi="宋体"/>
                <w:kern w:val="0"/>
                <w:szCs w:val="21"/>
              </w:rPr>
              <w:t>序号</w:t>
            </w:r>
          </w:p>
        </w:tc>
        <w:tc>
          <w:tcPr>
            <w:tcW w:w="338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r>
              <w:rPr>
                <w:rFonts w:hint="eastAsia" w:ascii="宋体" w:hAnsi="宋体"/>
                <w:kern w:val="0"/>
                <w:szCs w:val="21"/>
              </w:rPr>
              <w:t>招标要求</w:t>
            </w:r>
          </w:p>
        </w:tc>
        <w:tc>
          <w:tcPr>
            <w:tcW w:w="3387" w:type="dxa"/>
            <w:gridSpan w:val="3"/>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r>
              <w:rPr>
                <w:rFonts w:hint="eastAsia" w:ascii="宋体" w:hAnsi="宋体"/>
                <w:kern w:val="0"/>
                <w:szCs w:val="21"/>
              </w:rPr>
              <w:t>投标响应</w:t>
            </w:r>
          </w:p>
        </w:tc>
        <w:tc>
          <w:tcPr>
            <w:tcW w:w="124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r>
              <w:rPr>
                <w:rFonts w:hint="eastAsia" w:ascii="宋体" w:hAnsi="宋体"/>
                <w:kern w:val="0"/>
                <w:szCs w:val="21"/>
              </w:rPr>
              <w:t>偏离</w:t>
            </w:r>
          </w:p>
        </w:tc>
      </w:tr>
      <w:tr>
        <w:tblPrEx>
          <w:tblCellMar>
            <w:top w:w="0" w:type="dxa"/>
            <w:left w:w="0" w:type="dxa"/>
            <w:bottom w:w="0" w:type="dxa"/>
            <w:right w:w="0" w:type="dxa"/>
          </w:tblCellMar>
        </w:tblPrEx>
        <w:trPr>
          <w:trHeight w:val="680" w:hRule="atLeast"/>
          <w:jc w:val="center"/>
        </w:trPr>
        <w:tc>
          <w:tcPr>
            <w:tcW w:w="76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7" w:type="dxa"/>
            <w:gridSpan w:val="3"/>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124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r>
      <w:tr>
        <w:tblPrEx>
          <w:tblCellMar>
            <w:top w:w="0" w:type="dxa"/>
            <w:left w:w="0" w:type="dxa"/>
            <w:bottom w:w="0" w:type="dxa"/>
            <w:right w:w="0" w:type="dxa"/>
          </w:tblCellMar>
        </w:tblPrEx>
        <w:trPr>
          <w:trHeight w:val="680" w:hRule="atLeast"/>
          <w:jc w:val="center"/>
        </w:trPr>
        <w:tc>
          <w:tcPr>
            <w:tcW w:w="76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7" w:type="dxa"/>
            <w:gridSpan w:val="3"/>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124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r>
      <w:tr>
        <w:tblPrEx>
          <w:tblCellMar>
            <w:top w:w="0" w:type="dxa"/>
            <w:left w:w="0" w:type="dxa"/>
            <w:bottom w:w="0" w:type="dxa"/>
            <w:right w:w="0" w:type="dxa"/>
          </w:tblCellMar>
        </w:tblPrEx>
        <w:trPr>
          <w:trHeight w:val="680" w:hRule="atLeast"/>
          <w:jc w:val="center"/>
        </w:trPr>
        <w:tc>
          <w:tcPr>
            <w:tcW w:w="76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7" w:type="dxa"/>
            <w:gridSpan w:val="3"/>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124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r>
      <w:tr>
        <w:tblPrEx>
          <w:tblCellMar>
            <w:top w:w="0" w:type="dxa"/>
            <w:left w:w="0" w:type="dxa"/>
            <w:bottom w:w="0" w:type="dxa"/>
            <w:right w:w="0" w:type="dxa"/>
          </w:tblCellMar>
        </w:tblPrEx>
        <w:trPr>
          <w:trHeight w:val="680" w:hRule="atLeast"/>
          <w:jc w:val="center"/>
        </w:trPr>
        <w:tc>
          <w:tcPr>
            <w:tcW w:w="76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7" w:type="dxa"/>
            <w:gridSpan w:val="3"/>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124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r>
      <w:tr>
        <w:tblPrEx>
          <w:tblCellMar>
            <w:top w:w="0" w:type="dxa"/>
            <w:left w:w="0" w:type="dxa"/>
            <w:bottom w:w="0" w:type="dxa"/>
            <w:right w:w="0" w:type="dxa"/>
          </w:tblCellMar>
        </w:tblPrEx>
        <w:trPr>
          <w:trHeight w:val="680" w:hRule="atLeast"/>
          <w:jc w:val="center"/>
        </w:trPr>
        <w:tc>
          <w:tcPr>
            <w:tcW w:w="76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7" w:type="dxa"/>
            <w:gridSpan w:val="3"/>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124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r>
      <w:tr>
        <w:tblPrEx>
          <w:tblCellMar>
            <w:top w:w="0" w:type="dxa"/>
            <w:left w:w="0" w:type="dxa"/>
            <w:bottom w:w="0" w:type="dxa"/>
            <w:right w:w="0" w:type="dxa"/>
          </w:tblCellMar>
        </w:tblPrEx>
        <w:trPr>
          <w:trHeight w:val="680" w:hRule="atLeast"/>
          <w:jc w:val="center"/>
        </w:trPr>
        <w:tc>
          <w:tcPr>
            <w:tcW w:w="764"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3387" w:type="dxa"/>
            <w:gridSpan w:val="3"/>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c>
          <w:tcPr>
            <w:tcW w:w="1246"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widowControl/>
              <w:snapToGrid w:val="0"/>
              <w:jc w:val="center"/>
              <w:rPr>
                <w:rFonts w:hAnsi="宋体"/>
              </w:rPr>
            </w:pPr>
          </w:p>
        </w:tc>
      </w:tr>
      <w:tr>
        <w:tblPrEx>
          <w:tblCellMar>
            <w:top w:w="0" w:type="dxa"/>
            <w:left w:w="0" w:type="dxa"/>
            <w:bottom w:w="0" w:type="dxa"/>
            <w:right w:w="0" w:type="dxa"/>
          </w:tblCellMar>
        </w:tblPrEx>
        <w:trPr>
          <w:jc w:val="center"/>
        </w:trPr>
        <w:tc>
          <w:tcPr>
            <w:tcW w:w="622" w:type="dxa"/>
            <w:tcBorders>
              <w:top w:val="nil"/>
              <w:left w:val="nil"/>
              <w:bottom w:val="nil"/>
              <w:right w:val="nil"/>
            </w:tcBorders>
            <w:noWrap w:val="0"/>
            <w:vAlign w:val="center"/>
          </w:tcPr>
          <w:p>
            <w:pPr>
              <w:widowControl/>
              <w:snapToGrid w:val="0"/>
              <w:jc w:val="left"/>
              <w:rPr>
                <w:rFonts w:hAnsi="宋体" w:cs="宋体"/>
                <w:sz w:val="1"/>
              </w:rPr>
            </w:pPr>
          </w:p>
          <w:p>
            <w:pPr>
              <w:widowControl/>
              <w:snapToGrid w:val="0"/>
              <w:jc w:val="left"/>
              <w:rPr>
                <w:rFonts w:hAnsi="宋体" w:cs="宋体"/>
                <w:sz w:val="1"/>
              </w:rPr>
            </w:pPr>
          </w:p>
        </w:tc>
        <w:tc>
          <w:tcPr>
            <w:tcW w:w="142" w:type="dxa"/>
            <w:tcBorders>
              <w:top w:val="nil"/>
              <w:left w:val="nil"/>
              <w:bottom w:val="nil"/>
              <w:right w:val="nil"/>
            </w:tcBorders>
            <w:noWrap w:val="0"/>
            <w:vAlign w:val="center"/>
          </w:tcPr>
          <w:p>
            <w:pPr>
              <w:widowControl/>
              <w:snapToGrid w:val="0"/>
              <w:jc w:val="left"/>
              <w:rPr>
                <w:rFonts w:hAnsi="宋体" w:cs="宋体"/>
                <w:sz w:val="1"/>
              </w:rPr>
            </w:pPr>
          </w:p>
        </w:tc>
        <w:tc>
          <w:tcPr>
            <w:tcW w:w="3761" w:type="dxa"/>
            <w:gridSpan w:val="2"/>
            <w:tcBorders>
              <w:top w:val="nil"/>
              <w:left w:val="nil"/>
              <w:bottom w:val="nil"/>
              <w:right w:val="nil"/>
            </w:tcBorders>
            <w:noWrap w:val="0"/>
            <w:vAlign w:val="center"/>
          </w:tcPr>
          <w:p>
            <w:pPr>
              <w:widowControl/>
              <w:snapToGrid w:val="0"/>
              <w:jc w:val="left"/>
              <w:rPr>
                <w:rFonts w:hAnsi="宋体" w:cs="宋体"/>
                <w:sz w:val="1"/>
              </w:rPr>
            </w:pPr>
          </w:p>
        </w:tc>
        <w:tc>
          <w:tcPr>
            <w:tcW w:w="1298" w:type="dxa"/>
            <w:tcBorders>
              <w:top w:val="nil"/>
              <w:left w:val="nil"/>
              <w:bottom w:val="nil"/>
              <w:right w:val="nil"/>
            </w:tcBorders>
            <w:noWrap w:val="0"/>
            <w:vAlign w:val="center"/>
          </w:tcPr>
          <w:p>
            <w:pPr>
              <w:widowControl/>
              <w:snapToGrid w:val="0"/>
              <w:jc w:val="left"/>
              <w:rPr>
                <w:rFonts w:hAnsi="宋体" w:cs="宋体"/>
                <w:sz w:val="1"/>
              </w:rPr>
            </w:pPr>
          </w:p>
        </w:tc>
        <w:tc>
          <w:tcPr>
            <w:tcW w:w="1714" w:type="dxa"/>
            <w:tcBorders>
              <w:top w:val="nil"/>
              <w:left w:val="nil"/>
              <w:bottom w:val="nil"/>
              <w:right w:val="nil"/>
            </w:tcBorders>
            <w:noWrap w:val="0"/>
            <w:vAlign w:val="center"/>
          </w:tcPr>
          <w:p>
            <w:pPr>
              <w:widowControl/>
              <w:snapToGrid w:val="0"/>
              <w:jc w:val="left"/>
              <w:rPr>
                <w:rFonts w:hAnsi="宋体" w:cs="宋体"/>
                <w:sz w:val="1"/>
              </w:rPr>
            </w:pPr>
          </w:p>
        </w:tc>
        <w:tc>
          <w:tcPr>
            <w:tcW w:w="1246" w:type="dxa"/>
            <w:tcBorders>
              <w:top w:val="nil"/>
              <w:left w:val="nil"/>
              <w:bottom w:val="nil"/>
              <w:right w:val="nil"/>
            </w:tcBorders>
            <w:noWrap w:val="0"/>
            <w:vAlign w:val="center"/>
          </w:tcPr>
          <w:p>
            <w:pPr>
              <w:widowControl/>
              <w:snapToGrid w:val="0"/>
              <w:jc w:val="left"/>
              <w:rPr>
                <w:rFonts w:hAnsi="宋体" w:cs="宋体"/>
                <w:sz w:val="1"/>
              </w:rPr>
            </w:pPr>
          </w:p>
        </w:tc>
      </w:tr>
    </w:tbl>
    <w:p>
      <w:pPr>
        <w:widowControl/>
        <w:shd w:val="clear" w:color="auto" w:fill="FFFFFF"/>
        <w:snapToGrid w:val="0"/>
        <w:jc w:val="left"/>
        <w:rPr>
          <w:rFonts w:hAnsi="宋体"/>
        </w:rPr>
      </w:pPr>
    </w:p>
    <w:p>
      <w:pPr>
        <w:widowControl/>
        <w:shd w:val="clear" w:color="auto" w:fill="FFFFFF"/>
        <w:snapToGrid w:val="0"/>
        <w:spacing w:line="360" w:lineRule="auto"/>
        <w:jc w:val="left"/>
        <w:rPr>
          <w:rFonts w:hAnsi="宋体"/>
        </w:rPr>
      </w:pPr>
      <w:r>
        <w:rPr>
          <w:rFonts w:hint="eastAsia" w:ascii="宋体" w:hAnsi="宋体"/>
          <w:kern w:val="0"/>
          <w:szCs w:val="21"/>
        </w:rPr>
        <w:t>说明：</w:t>
      </w:r>
    </w:p>
    <w:p>
      <w:pPr>
        <w:widowControl/>
        <w:shd w:val="clear" w:color="auto" w:fill="FFFFFF"/>
        <w:snapToGrid w:val="0"/>
        <w:spacing w:line="360" w:lineRule="auto"/>
        <w:jc w:val="left"/>
        <w:rPr>
          <w:rFonts w:hAnsi="宋体"/>
        </w:rPr>
      </w:pPr>
      <w:r>
        <w:rPr>
          <w:rFonts w:ascii="宋体" w:hAnsi="宋体"/>
          <w:kern w:val="0"/>
          <w:szCs w:val="21"/>
        </w:rPr>
        <w:t>如果行数不够，请自行增加。</w:t>
      </w:r>
    </w:p>
    <w:p>
      <w:pPr>
        <w:widowControl/>
        <w:shd w:val="clear" w:color="auto" w:fill="FFFFFF"/>
        <w:snapToGrid w:val="0"/>
        <w:spacing w:line="360" w:lineRule="auto"/>
        <w:jc w:val="left"/>
        <w:rPr>
          <w:rFonts w:hAnsi="宋体"/>
        </w:rPr>
      </w:pPr>
    </w:p>
    <w:p>
      <w:pPr>
        <w:widowControl/>
        <w:shd w:val="clear" w:color="auto" w:fill="FFFFFF"/>
        <w:snapToGrid w:val="0"/>
        <w:spacing w:line="360" w:lineRule="auto"/>
        <w:jc w:val="left"/>
        <w:rPr>
          <w:rFonts w:hAnsi="宋体"/>
        </w:rPr>
      </w:pPr>
    </w:p>
    <w:p>
      <w:pPr>
        <w:widowControl/>
        <w:shd w:val="clear" w:color="auto" w:fill="FFFFFF"/>
        <w:snapToGrid w:val="0"/>
        <w:spacing w:line="360" w:lineRule="auto"/>
        <w:jc w:val="left"/>
        <w:rPr>
          <w:rFonts w:hAnsi="宋体"/>
        </w:rPr>
      </w:pPr>
    </w:p>
    <w:p>
      <w:pPr>
        <w:widowControl/>
        <w:shd w:val="clear" w:color="auto" w:fill="FFFFFF"/>
        <w:snapToGrid w:val="0"/>
        <w:spacing w:line="360" w:lineRule="auto"/>
        <w:jc w:val="left"/>
        <w:rPr>
          <w:rFonts w:hAnsi="宋体"/>
        </w:rPr>
      </w:pPr>
    </w:p>
    <w:p>
      <w:pPr>
        <w:spacing w:line="360" w:lineRule="auto"/>
        <w:ind w:left="2520" w:leftChars="1200"/>
        <w:rPr>
          <w:rFonts w:hAnsi="宋体" w:cs="Arial"/>
          <w:sz w:val="24"/>
          <w:u w:val="single"/>
        </w:rPr>
      </w:pPr>
      <w:r>
        <w:rPr>
          <w:rFonts w:hint="eastAsia" w:ascii="宋体" w:hAnsi="宋体" w:cs="Arial"/>
          <w:sz w:val="24"/>
        </w:rPr>
        <w:t>投标人名称（盖章）：</w:t>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p>
    <w:p>
      <w:pPr>
        <w:spacing w:line="360" w:lineRule="auto"/>
        <w:ind w:left="2520" w:leftChars="1200"/>
        <w:rPr>
          <w:rFonts w:hAnsi="宋体" w:cs="Arial"/>
          <w:sz w:val="24"/>
        </w:rPr>
      </w:pPr>
      <w:r>
        <w:rPr>
          <w:rFonts w:hint="eastAsia" w:ascii="Arial" w:hAnsi="Arial" w:cs="Arial"/>
          <w:sz w:val="24"/>
        </w:rPr>
        <w:t>法定代表人或授权委托人（签字）：</w:t>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hAnsi="宋体" w:cs="Arial"/>
          <w:sz w:val="24"/>
          <w:u w:val="single"/>
        </w:rPr>
        <w:t xml:space="preserve">    </w:t>
      </w:r>
    </w:p>
    <w:p>
      <w:pPr>
        <w:spacing w:line="360" w:lineRule="auto"/>
        <w:ind w:left="2520" w:leftChars="1200"/>
        <w:rPr>
          <w:rFonts w:hAnsi="宋体" w:cs="Arial"/>
          <w:sz w:val="24"/>
          <w:u w:val="single"/>
        </w:rPr>
      </w:pPr>
      <w:r>
        <w:rPr>
          <w:rFonts w:hint="eastAsia" w:ascii="宋体" w:hAnsi="宋体" w:cs="Arial"/>
          <w:sz w:val="24"/>
        </w:rPr>
        <w:t>日 期：</w:t>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r>
        <w:rPr>
          <w:rFonts w:hint="eastAsia" w:ascii="宋体" w:hAnsi="宋体" w:cs="Arial"/>
          <w:sz w:val="24"/>
          <w:u w:val="single"/>
        </w:rPr>
        <w:tab/>
      </w:r>
    </w:p>
    <w:p>
      <w:pPr>
        <w:pStyle w:val="16"/>
        <w:jc w:val="center"/>
        <w:rPr>
          <w:rFonts w:ascii="Times New Roman" w:hAnsi="Times New Roman" w:eastAsia="宋体"/>
          <w:kern w:val="2"/>
          <w:sz w:val="21"/>
        </w:rPr>
      </w:pPr>
    </w:p>
    <w:p>
      <w:pPr>
        <w:pStyle w:val="16"/>
        <w:jc w:val="center"/>
        <w:rPr>
          <w:rFonts w:ascii="Times New Roman" w:hAnsi="Times New Roman" w:eastAsia="宋体"/>
          <w:sz w:val="21"/>
        </w:rPr>
      </w:pPr>
    </w:p>
    <w:p>
      <w:pPr>
        <w:snapToGrid w:val="0"/>
        <w:spacing w:before="50" w:after="50"/>
        <w:jc w:val="center"/>
        <w:rPr>
          <w:rFonts w:ascii="宋体" w:hAnsi="宋体"/>
          <w:b/>
          <w:sz w:val="30"/>
          <w:szCs w:val="30"/>
        </w:rPr>
      </w:pPr>
    </w:p>
    <w:p>
      <w:pPr>
        <w:pStyle w:val="2"/>
      </w:pPr>
    </w:p>
    <w:p>
      <w:pPr>
        <w:pStyle w:val="2"/>
      </w:pPr>
    </w:p>
    <w:p>
      <w:pPr>
        <w:pStyle w:val="2"/>
        <w:rPr>
          <w:rFonts w:hint="eastAsia"/>
        </w:rPr>
      </w:pPr>
    </w:p>
    <w:p>
      <w:pPr>
        <w:snapToGrid w:val="0"/>
        <w:spacing w:before="50" w:after="50"/>
        <w:jc w:val="center"/>
        <w:rPr>
          <w:rFonts w:ascii="宋体" w:hAnsi="宋体"/>
          <w:b/>
          <w:sz w:val="30"/>
          <w:szCs w:val="30"/>
        </w:rPr>
      </w:pPr>
    </w:p>
    <w:p>
      <w:pPr>
        <w:widowControl/>
        <w:jc w:val="left"/>
        <w:rPr>
          <w:rFonts w:hint="eastAsia" w:ascii="宋体" w:hAnsi="宋体"/>
          <w:b/>
          <w:sz w:val="36"/>
          <w:szCs w:val="21"/>
          <w:lang w:eastAsia="zh-CN"/>
        </w:rPr>
      </w:pPr>
      <w:r>
        <w:rPr>
          <w:rFonts w:hint="eastAsia" w:ascii="宋体" w:hAnsi="宋体"/>
          <w:b/>
          <w:sz w:val="36"/>
          <w:szCs w:val="21"/>
          <w:lang w:eastAsia="zh-CN"/>
        </w:rPr>
        <w:t>四、报价一览表（格式）</w:t>
      </w: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r>
        <w:rPr>
          <w:rFonts w:ascii="宋体" w:hAnsi="宋体"/>
          <w:b/>
          <w:bCs/>
          <w:sz w:val="28"/>
          <w:szCs w:val="28"/>
        </w:rPr>
        <w:t>报价一览表</w:t>
      </w:r>
    </w:p>
    <w:p>
      <w:pPr>
        <w:spacing w:line="360" w:lineRule="auto"/>
        <w:jc w:val="both"/>
        <w:rPr>
          <w:rFonts w:ascii="宋体" w:hAnsi="宋体"/>
          <w:bCs/>
          <w:szCs w:val="21"/>
        </w:rPr>
      </w:pPr>
      <w:r>
        <w:rPr>
          <w:rFonts w:ascii="宋体" w:hAnsi="宋体"/>
          <w:bCs/>
          <w:szCs w:val="21"/>
        </w:rPr>
        <w:t xml:space="preserve">供应商名称（盖章）                                   </w:t>
      </w:r>
    </w:p>
    <w:p>
      <w:pPr>
        <w:spacing w:line="360" w:lineRule="auto"/>
        <w:jc w:val="both"/>
        <w:rPr>
          <w:rFonts w:ascii="宋体" w:hAnsi="宋体"/>
          <w:b/>
          <w:bCs/>
          <w:szCs w:val="21"/>
        </w:rPr>
      </w:pPr>
      <w:r>
        <w:rPr>
          <w:rFonts w:ascii="宋体" w:hAnsi="宋体"/>
          <w:bCs/>
          <w:szCs w:val="21"/>
        </w:rPr>
        <w:t>采购</w:t>
      </w:r>
      <w:r>
        <w:rPr>
          <w:rFonts w:hint="eastAsia" w:ascii="宋体" w:hAnsi="宋体"/>
          <w:bCs/>
          <w:szCs w:val="21"/>
        </w:rPr>
        <w:t>项目</w:t>
      </w:r>
      <w:r>
        <w:rPr>
          <w:rFonts w:ascii="宋体" w:hAnsi="宋体"/>
          <w:bCs/>
          <w:szCs w:val="21"/>
        </w:rPr>
        <w:t xml:space="preserve">编号： </w:t>
      </w:r>
    </w:p>
    <w:tbl>
      <w:tblPr>
        <w:tblStyle w:val="9"/>
        <w:tblW w:w="100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noWrap w:val="0"/>
            <w:vAlign w:val="center"/>
          </w:tcPr>
          <w:p>
            <w:pPr>
              <w:autoSpaceDE w:val="0"/>
              <w:autoSpaceDN w:val="0"/>
              <w:adjustRightInd w:val="0"/>
              <w:jc w:val="both"/>
              <w:rPr>
                <w:rFonts w:hint="eastAsia" w:eastAsia="宋体"/>
                <w:b/>
                <w:bCs/>
                <w:sz w:val="24"/>
                <w:szCs w:val="24"/>
                <w:lang w:eastAsia="zh-CN"/>
              </w:rPr>
            </w:pPr>
            <w:r>
              <w:rPr>
                <w:rFonts w:hAnsi="宋体"/>
                <w:b/>
                <w:bCs/>
                <w:sz w:val="24"/>
                <w:szCs w:val="24"/>
              </w:rPr>
              <w:t>项目名称</w:t>
            </w:r>
          </w:p>
        </w:tc>
        <w:tc>
          <w:tcPr>
            <w:tcW w:w="6207" w:type="dxa"/>
            <w:noWrap w:val="0"/>
            <w:vAlign w:val="center"/>
          </w:tcPr>
          <w:p>
            <w:pPr>
              <w:autoSpaceDE w:val="0"/>
              <w:autoSpaceDN w:val="0"/>
              <w:adjustRightInd w:val="0"/>
              <w:jc w:val="both"/>
              <w:rPr>
                <w:rFonts w:hint="eastAsia" w:eastAsia="宋体"/>
                <w:b/>
                <w:bCs/>
                <w:sz w:val="24"/>
                <w:szCs w:val="24"/>
                <w:lang w:eastAsia="zh-CN"/>
              </w:rPr>
            </w:pPr>
            <w:r>
              <w:rPr>
                <w:rFonts w:hint="eastAsia" w:hAnsi="宋体"/>
                <w:b/>
                <w:bCs/>
                <w:sz w:val="24"/>
                <w:szCs w:val="24"/>
                <w:lang w:eastAsia="zh-CN"/>
              </w:rPr>
              <w:t>报价（小写）</w:t>
            </w:r>
            <w:r>
              <w:rPr>
                <w:b/>
                <w:bCs/>
                <w:sz w:val="24"/>
                <w:szCs w:val="24"/>
              </w:rPr>
              <w:t xml:space="preserve"> </w:t>
            </w:r>
            <w:r>
              <w:rPr>
                <w:rFonts w:hint="eastAsia"/>
                <w:b/>
                <w:bCs/>
                <w:sz w:val="24"/>
                <w:szCs w:val="24"/>
                <w:lang w:eastAsia="zh-CN"/>
              </w:rPr>
              <w:t>（元</w:t>
            </w:r>
            <w:r>
              <w:rPr>
                <w:rFonts w:hint="eastAsia"/>
                <w:b/>
                <w:bCs/>
                <w:sz w:val="24"/>
                <w:szCs w:val="24"/>
                <w:lang w:val="en-US" w:eastAsia="zh-CN"/>
              </w:rPr>
              <w:t>/小时</w:t>
            </w:r>
            <w:r>
              <w:rPr>
                <w:rFonts w:hint="eastAsia"/>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noWrap w:val="0"/>
            <w:vAlign w:val="center"/>
          </w:tcPr>
          <w:p>
            <w:pPr>
              <w:pStyle w:val="17"/>
              <w:spacing w:line="400" w:lineRule="exact"/>
              <w:jc w:val="both"/>
              <w:rPr>
                <w:rFonts w:ascii="Times New Roman"/>
                <w:bCs/>
                <w:szCs w:val="24"/>
              </w:rPr>
            </w:pPr>
          </w:p>
        </w:tc>
        <w:tc>
          <w:tcPr>
            <w:tcW w:w="6207" w:type="dxa"/>
            <w:noWrap w:val="0"/>
            <w:vAlign w:val="center"/>
          </w:tcPr>
          <w:p>
            <w:pPr>
              <w:pStyle w:val="17"/>
              <w:jc w:val="both"/>
              <w:rPr>
                <w:rFonts w:asci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0080" w:type="dxa"/>
            <w:gridSpan w:val="2"/>
            <w:tcBorders>
              <w:bottom w:val="single" w:color="auto" w:sz="4" w:space="0"/>
            </w:tcBorders>
            <w:noWrap w:val="0"/>
            <w:vAlign w:val="center"/>
          </w:tcPr>
          <w:p>
            <w:pPr>
              <w:jc w:val="both"/>
              <w:rPr>
                <w:b/>
                <w:bCs/>
                <w:sz w:val="24"/>
                <w:szCs w:val="24"/>
              </w:rPr>
            </w:pPr>
            <w:r>
              <w:rPr>
                <w:rFonts w:eastAsia="黑体"/>
                <w:b/>
                <w:sz w:val="24"/>
              </w:rPr>
              <w:t>报价（大写）</w:t>
            </w:r>
            <w:r>
              <w:rPr>
                <w:rFonts w:hint="eastAsia"/>
                <w:b/>
                <w:bCs/>
                <w:sz w:val="24"/>
                <w:szCs w:val="24"/>
                <w:lang w:eastAsia="zh-CN"/>
              </w:rPr>
              <w:t>（元</w:t>
            </w:r>
            <w:r>
              <w:rPr>
                <w:rFonts w:hint="eastAsia"/>
                <w:b/>
                <w:bCs/>
                <w:sz w:val="24"/>
                <w:szCs w:val="24"/>
                <w:lang w:val="en-US" w:eastAsia="zh-CN"/>
              </w:rPr>
              <w:t>/小时</w:t>
            </w:r>
            <w:r>
              <w:rPr>
                <w:rFonts w:hint="eastAsia"/>
                <w:b/>
                <w:bCs/>
                <w:sz w:val="24"/>
                <w:szCs w:val="24"/>
                <w:lang w:eastAsia="zh-CN"/>
              </w:rPr>
              <w:t>）</w:t>
            </w:r>
            <w:r>
              <w:rPr>
                <w:rFonts w:hAnsi="宋体"/>
                <w:b/>
                <w:bCs/>
                <w:kern w:val="0"/>
                <w:sz w:val="24"/>
                <w:szCs w:val="24"/>
                <w:u w:val="none" w:color="000000"/>
              </w:rPr>
              <w:t>：　　　</w:t>
            </w:r>
          </w:p>
        </w:tc>
      </w:tr>
    </w:tbl>
    <w:p>
      <w:pPr>
        <w:spacing w:before="5"/>
        <w:jc w:val="both"/>
        <w:rPr>
          <w:rFonts w:ascii="宋体" w:hAnsi="宋体"/>
          <w:b/>
          <w:bCs/>
          <w:szCs w:val="21"/>
        </w:rPr>
      </w:pPr>
    </w:p>
    <w:p>
      <w:pPr>
        <w:spacing w:before="5"/>
        <w:jc w:val="both"/>
        <w:rPr>
          <w:rFonts w:ascii="宋体" w:hAnsi="宋体"/>
          <w:b/>
          <w:bCs/>
          <w:szCs w:val="21"/>
        </w:rPr>
      </w:pPr>
      <w:r>
        <w:rPr>
          <w:rFonts w:ascii="宋体" w:hAnsi="宋体"/>
          <w:b/>
          <w:bCs/>
          <w:szCs w:val="21"/>
        </w:rPr>
        <w:t>法定代表人或法定代表人授权代表签字或盖章：</w:t>
      </w:r>
    </w:p>
    <w:p>
      <w:pPr>
        <w:jc w:val="both"/>
        <w:rPr>
          <w:rFonts w:ascii="宋体" w:hAnsi="宋体"/>
          <w:szCs w:val="21"/>
        </w:rPr>
      </w:pPr>
    </w:p>
    <w:p>
      <w:pPr>
        <w:jc w:val="both"/>
        <w:rPr>
          <w:rFonts w:ascii="宋体" w:hAnsi="宋体"/>
          <w:b/>
          <w:kern w:val="0"/>
          <w:szCs w:val="21"/>
        </w:rPr>
      </w:pPr>
      <w:r>
        <w:rPr>
          <w:rFonts w:hint="eastAsia" w:ascii="宋体" w:hAnsi="宋体"/>
          <w:b/>
          <w:szCs w:val="21"/>
        </w:rPr>
        <w:t>日期：年</w:t>
      </w:r>
      <w:r>
        <w:rPr>
          <w:rFonts w:hint="eastAsia" w:ascii="宋体" w:hAnsi="宋体"/>
          <w:b/>
          <w:szCs w:val="21"/>
          <w:lang w:val="en-US" w:eastAsia="zh-CN"/>
        </w:rPr>
        <w:t xml:space="preserve"> </w:t>
      </w:r>
      <w:r>
        <w:rPr>
          <w:rFonts w:hint="eastAsia" w:ascii="宋体" w:hAnsi="宋体"/>
          <w:b/>
          <w:szCs w:val="21"/>
        </w:rPr>
        <w:t>月</w:t>
      </w:r>
      <w:r>
        <w:rPr>
          <w:rFonts w:hint="eastAsia" w:ascii="宋体" w:hAnsi="宋体"/>
          <w:b/>
          <w:szCs w:val="21"/>
          <w:lang w:val="en-US" w:eastAsia="zh-CN"/>
        </w:rPr>
        <w:t xml:space="preserve"> </w:t>
      </w:r>
      <w:r>
        <w:rPr>
          <w:rFonts w:hint="eastAsia" w:ascii="宋体" w:hAnsi="宋体"/>
          <w:b/>
          <w:szCs w:val="21"/>
        </w:rPr>
        <w:t>日</w:t>
      </w:r>
    </w:p>
    <w:p>
      <w:pPr>
        <w:pStyle w:val="6"/>
      </w:pPr>
    </w:p>
    <w:p>
      <w:pPr>
        <w:pStyle w:val="6"/>
        <w:ind w:left="0" w:leftChars="0" w:firstLine="0" w:firstLineChars="0"/>
      </w:pPr>
    </w:p>
    <w:p>
      <w:pPr>
        <w:pStyle w:val="6"/>
        <w:ind w:left="0" w:leftChars="0" w:firstLine="0" w:firstLineChars="0"/>
        <w:rPr>
          <w:rFonts w:hint="eastAsia" w:ascii="宋体" w:hAnsi="宋体" w:cs="微软雅黑"/>
          <w:kern w:val="0"/>
          <w:sz w:val="21"/>
          <w:szCs w:val="21"/>
          <w:highlight w:val="none"/>
          <w:lang w:eastAsia="zh-CN"/>
        </w:rPr>
      </w:pPr>
      <w:r>
        <w:rPr>
          <w:rFonts w:hint="eastAsia" w:ascii="宋体" w:hAnsi="宋体" w:cs="微软雅黑"/>
          <w:kern w:val="0"/>
          <w:sz w:val="21"/>
          <w:szCs w:val="21"/>
          <w:highlight w:val="none"/>
          <w:lang w:eastAsia="zh-CN"/>
        </w:rPr>
        <w:t>注：报价为</w:t>
      </w:r>
      <w:r>
        <w:rPr>
          <w:rFonts w:hint="eastAsia" w:ascii="宋体" w:hAnsi="宋体" w:cs="微软雅黑"/>
          <w:kern w:val="0"/>
          <w:sz w:val="21"/>
          <w:szCs w:val="21"/>
          <w:highlight w:val="none"/>
        </w:rPr>
        <w:t>电动自行车充电收费</w:t>
      </w:r>
      <w:r>
        <w:rPr>
          <w:rFonts w:hint="eastAsia" w:ascii="宋体" w:hAnsi="宋体" w:cs="微软雅黑"/>
          <w:kern w:val="0"/>
          <w:sz w:val="21"/>
          <w:szCs w:val="21"/>
          <w:highlight w:val="none"/>
          <w:lang w:eastAsia="zh-CN"/>
        </w:rPr>
        <w:t>单价（元</w:t>
      </w:r>
      <w:r>
        <w:rPr>
          <w:rFonts w:hint="eastAsia" w:ascii="宋体" w:hAnsi="宋体" w:cs="微软雅黑"/>
          <w:kern w:val="0"/>
          <w:sz w:val="21"/>
          <w:szCs w:val="21"/>
          <w:highlight w:val="none"/>
          <w:lang w:val="en-US" w:eastAsia="zh-CN"/>
        </w:rPr>
        <w:t>/小时</w:t>
      </w:r>
      <w:r>
        <w:rPr>
          <w:rFonts w:hint="eastAsia" w:ascii="宋体" w:hAnsi="宋体" w:cs="微软雅黑"/>
          <w:kern w:val="0"/>
          <w:sz w:val="21"/>
          <w:szCs w:val="21"/>
          <w:highlight w:val="none"/>
          <w:lang w:eastAsia="zh-CN"/>
        </w:rPr>
        <w:t>）</w:t>
      </w:r>
    </w:p>
    <w:p>
      <w:pPr>
        <w:pStyle w:val="6"/>
        <w:ind w:left="0" w:leftChars="0" w:firstLine="0" w:firstLineChars="0"/>
        <w:rPr>
          <w:rFonts w:hint="eastAsia" w:ascii="宋体" w:hAnsi="宋体" w:cs="微软雅黑"/>
          <w:kern w:val="0"/>
          <w:sz w:val="21"/>
          <w:szCs w:val="21"/>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GB2312">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_GB2312" w:eastAsia="宋体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r>
      <w:t>JSQY-20220</w:t>
    </w:r>
    <w:r>
      <w:rPr>
        <w:rFonts w:hint="eastAsia"/>
        <w:lang w:val="en-US" w:eastAsia="zh-CN"/>
      </w:rPr>
      <w:t>38</w:t>
    </w:r>
    <w:r>
      <w:rPr>
        <w:rFonts w:hint="eastAsia"/>
      </w:rPr>
      <w:t xml:space="preserve">号                              </w:t>
    </w:r>
    <w:r>
      <w:t xml:space="preserve">            </w:t>
    </w:r>
    <w:r>
      <w:rPr>
        <w:rFonts w:hint="eastAsia"/>
        <w:lang w:val="en-US" w:eastAsia="zh-CN"/>
      </w:rPr>
      <w:t xml:space="preserve">    </w:t>
    </w:r>
    <w:r>
      <w:t xml:space="preserve">   </w:t>
    </w:r>
    <w:r>
      <w:rPr>
        <w:rFonts w:hint="eastAsia"/>
      </w:rPr>
      <w:t xml:space="preserve">            江苏</w:t>
    </w:r>
    <w:r>
      <w:t>汽车技师学院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4DF36"/>
    <w:multiLevelType w:val="singleLevel"/>
    <w:tmpl w:val="2D54DF3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TAzNGExNTZkMzNmYWJiMGNkOGVkOWQ0MGIyNzYifQ=="/>
  </w:docVars>
  <w:rsids>
    <w:rsidRoot w:val="411C74DD"/>
    <w:rsid w:val="0356705D"/>
    <w:rsid w:val="230478D9"/>
    <w:rsid w:val="411C74DD"/>
    <w:rsid w:val="6DF0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400" w:lineRule="atLeast"/>
      <w:jc w:val="center"/>
      <w:textAlignment w:val="baseline"/>
      <w:outlineLvl w:val="0"/>
    </w:pPr>
    <w:rPr>
      <w:rFonts w:ascii="黑体" w:eastAsia="黑体"/>
      <w:b/>
      <w:kern w:val="44"/>
      <w:sz w:val="30"/>
      <w:szCs w:val="20"/>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华文中宋" w:eastAsia="华文中宋"/>
      <w:bCs/>
      <w:sz w:val="28"/>
    </w:rPr>
  </w:style>
  <w:style w:type="paragraph" w:styleId="5">
    <w:name w:val="annotation text"/>
    <w:basedOn w:val="1"/>
    <w:qFormat/>
    <w:uiPriority w:val="0"/>
    <w:pPr>
      <w:jc w:val="left"/>
    </w:pPr>
  </w:style>
  <w:style w:type="paragraph" w:styleId="6">
    <w:name w:val="Body Text Indent"/>
    <w:basedOn w:val="1"/>
    <w:unhideWhenUsed/>
    <w:uiPriority w:val="0"/>
    <w:pPr>
      <w:spacing w:line="400" w:lineRule="exact"/>
      <w:ind w:firstLine="540" w:firstLineChars="225"/>
    </w:pPr>
    <w:rPr>
      <w:sz w:val="24"/>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character" w:styleId="11">
    <w:name w:val="FollowedHyperlink"/>
    <w:qFormat/>
    <w:uiPriority w:val="99"/>
    <w:rPr>
      <w:color w:val="auto"/>
      <w:u w:val="none"/>
    </w:rPr>
  </w:style>
  <w:style w:type="character" w:styleId="12">
    <w:name w:val="Hyperlink"/>
    <w:qFormat/>
    <w:uiPriority w:val="99"/>
    <w:rPr>
      <w:color w:val="000000"/>
      <w:u w:val="non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正文 第五章 中间"/>
    <w:qFormat/>
    <w:uiPriority w:val="0"/>
    <w:rPr>
      <w:rFonts w:ascii="Times New Roman" w:hAnsi="Times New Roman" w:eastAsia="宋体" w:cs="Times New Roman"/>
      <w:b/>
      <w:bCs/>
      <w:color w:val="000000"/>
      <w:sz w:val="32"/>
    </w:rPr>
  </w:style>
  <w:style w:type="paragraph" w:customStyle="1" w:styleId="15">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16">
    <w:name w:val="纯文本2"/>
    <w:basedOn w:val="1"/>
    <w:qFormat/>
    <w:uiPriority w:val="0"/>
    <w:pPr>
      <w:widowControl/>
      <w:adjustRightInd w:val="0"/>
      <w:spacing w:line="360" w:lineRule="auto"/>
      <w:jc w:val="left"/>
      <w:textAlignment w:val="baseline"/>
    </w:pPr>
    <w:rPr>
      <w:rFonts w:ascii="宋体" w:hAnsi="Courier New" w:eastAsia="楷体_GB2312"/>
      <w:kern w:val="0"/>
      <w:sz w:val="26"/>
      <w:szCs w:val="21"/>
    </w:rPr>
  </w:style>
  <w:style w:type="paragraph" w:customStyle="1" w:styleId="17">
    <w:name w:val="普通文字"/>
    <w:basedOn w:val="1"/>
    <w:next w:val="1"/>
    <w:qFormat/>
    <w:uiPriority w:val="0"/>
    <w:rPr>
      <w:rFonts w:ascii="宋体"/>
      <w:kern w:val="0"/>
      <w:sz w:val="24"/>
      <w:u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3873</Words>
  <Characters>4094</Characters>
  <Lines>0</Lines>
  <Paragraphs>0</Paragraphs>
  <TotalTime>1</TotalTime>
  <ScaleCrop>false</ScaleCrop>
  <LinksUpToDate>false</LinksUpToDate>
  <CharactersWithSpaces>4174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2022-05-29T07:01:00Z</dcterms:created>
  <dc:creator>江苏汽车技师学院</dc:creator>
  <cp:lastModifiedBy>江苏汽车技师学院</cp:lastModifiedBy>
  <dcterms:modified xsi:type="dcterms:W3CDTF">2022-06-02T08:15:13Z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B31461D8FEA4477292F4BA66D0E77641</vt:lpwstr>
  </property>
</Properties>
</file>