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21"/>
          <w:lang w:eastAsia="zh-CN"/>
        </w:rPr>
        <w:t>江</w:t>
      </w:r>
      <w:r>
        <w:rPr>
          <w:rFonts w:hint="eastAsia" w:ascii="宋体" w:hAnsi="宋体" w:eastAsia="宋体" w:cs="宋体"/>
          <w:b/>
          <w:sz w:val="32"/>
          <w:szCs w:val="21"/>
        </w:rPr>
        <w:t>苏汽车技师学院</w:t>
      </w:r>
      <w:r>
        <w:rPr>
          <w:rFonts w:hint="eastAsia" w:ascii="宋体" w:hAnsi="宋体" w:eastAsia="宋体" w:cs="宋体"/>
          <w:b/>
          <w:sz w:val="32"/>
          <w:szCs w:val="21"/>
          <w:lang w:eastAsia="zh-CN"/>
        </w:rPr>
        <w:t>（广陵校区）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21"/>
          <w:lang w:eastAsia="zh-CN"/>
        </w:rPr>
      </w:pPr>
      <w:r>
        <w:rPr>
          <w:rFonts w:hint="eastAsia" w:cs="Times New Roman" w:asciiTheme="minorEastAsia" w:hAnsiTheme="minorEastAsia"/>
          <w:b/>
          <w:sz w:val="32"/>
          <w:szCs w:val="21"/>
          <w:lang w:eastAsia="zh-CN"/>
        </w:rPr>
        <w:t>机房网络集成项目</w:t>
      </w:r>
      <w:r>
        <w:rPr>
          <w:rFonts w:hint="eastAsia" w:ascii="宋体" w:hAnsi="宋体" w:eastAsia="宋体" w:cs="宋体"/>
          <w:b/>
          <w:sz w:val="32"/>
          <w:szCs w:val="21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本项目要求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实现两个计算机房网络集成以及整栋实训楼无线网络全覆盖，并</w:t>
      </w:r>
      <w:r>
        <w:rPr>
          <w:rFonts w:hint="eastAsia" w:ascii="宋体" w:hAnsi="宋体" w:eastAsia="宋体" w:cs="宋体"/>
          <w:b w:val="0"/>
          <w:bCs/>
          <w:szCs w:val="21"/>
        </w:rPr>
        <w:t>在指定位置按规范和功能要求完成安装调试。</w:t>
      </w:r>
    </w:p>
    <w:p>
      <w:pPr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bCs/>
          <w:szCs w:val="21"/>
        </w:rPr>
        <w:t>以下设备清单中如出现产品品牌，均仅作为供应商询价时产品质量或标准的参考, 供应商询价时产品质量或标准不得低于参考品牌，凡可满足询价文件参数需求的设备品牌均可在询价中使用，必须要与原系统无缝衔接，交付完成后，操作人员必须操作简易。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left="0" w:leftChars="0" w:firstLine="420" w:firstLineChars="200"/>
        <w:jc w:val="left"/>
        <w:textAlignment w:val="auto"/>
        <w:rPr>
          <w:rFonts w:cs="宋体"/>
          <w:kern w:val="0"/>
          <w:szCs w:val="21"/>
        </w:rPr>
      </w:pPr>
      <w:r>
        <w:rPr>
          <w:rFonts w:hint="eastAsia" w:cs="宋体"/>
          <w:b/>
          <w:bCs/>
          <w:kern w:val="0"/>
          <w:szCs w:val="21"/>
        </w:rPr>
        <w:t>采购项目的技术规格、要求和数量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210" w:firstLineChars="100"/>
        <w:jc w:val="left"/>
        <w:textAlignment w:val="auto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1、采购项目数量及相关需求：</w:t>
      </w:r>
    </w:p>
    <w:tbl>
      <w:tblPr>
        <w:tblStyle w:val="11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97"/>
        <w:gridCol w:w="5490"/>
        <w:gridCol w:w="795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7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产品名称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参数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增强型AP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1.★802.11ax 协议，兼容802.11a/b/g/n/ac协议，支持2.4G和5G同时工作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2.支持2.4G 1*1条流及 5G 2*2条流；2.4G最大传输速率≥287Mbps，5G最大传输速率≥1201Mbps，整机最大传输速率≥1.488Gbps，内置智能天线；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3.★千兆以太网口≥2个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4.支持802.3at标准的PoE供电和本地电源适配器供电两种方式；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5.AP满负荷工作功耗≤12.95W；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6.AP发射功率≤20dBm（最大不超过100mw），且功率可调节（调节粒度为1dBm，调节范围为1dBm~20dBm）；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7.单射频接入人数≥128，整机最大接入人数≥256；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8.支持基于SSID的接入用户数限制；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9.支持虚拟AP技术，单射频SSID数量≥16，整机≥32；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10.★支持AP零配置，支持二三层发现、DHCP Option43、DNS域名等多种AC自动发现机制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11.★支持802.1x认证、MAC地址认证、PSK认证、Portal认证等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12.支持AES、TKIP等加密方式；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13.支持将内网终端用于的IP扫描、端口扫描达到阈值后告警或进入动态黑名单；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14.在数据安全方面，通过融合有线无线双重保障，实现全面安全防护；</w:t>
            </w:r>
          </w:p>
          <w:p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15.通过基于特征和协议的射频优化，有效提升无线部署中高密度接入、流媒体传。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教室AP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1.802.11ac wave2协议，兼容802.11a/b/g/n/ac协议，支持2.4G和5G同时工作；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2.支持2.4G 2*2条流及5G 2*2条流；2.4G最大传输速率≥400Mbps，5G最大传输速率≥867Mbps，整机最大传输速率≥1.267Gbps，内置智能天线；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3.千兆以太网口≥2个；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4.支持802.3at标准的PoE供电和本地电源适配器供电两种方式；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5.支持虚拟AP技术，单射频SSID数量≥16，整机≥32；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6.Fit模式系列AP可将数据报文在无线接入设备上直接转化为不经过控制器的报文，而是在本地进行转发，提升转发效率，降低网络资源开销；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7.★支持AP零配置，支持二三层发现、DHCP Option43、DNS域名等多种AC自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8.★支持802.1x认证、MAC地址认证、PSK认证、Portal认证等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9.支持AES、TKIP等加密方式；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10.支持将内网终端用于的IP扫描、端口扫描达到阈值后告警或进入动态黑名单；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11.在数据安全方面，通过融合有线无线双重保障，实现全面安全防护；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12.★通过基于特征和协议的射频优化，有效提升无线部署中高密度接入、流媒体传输等场景中的应用加速能力和质量保障效果。其中包含：多用户时间公平调度、混合接入公平、终端速率管控、组播增强、广播优化和智能带宽保障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13.支持基于STA数、信号强度、信道利用率的智能负载均衡，自动平衡各AP之间的接入压力。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24口POE交换机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1.千兆电口≥24个，万兆SFP+光口≥4个；Console口≥1个，支持IEEE 802.3af/at供电标准，单端口最大输出功率≥30W，整机最大输出功率≥370W；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2.★交换性能≥336Gbps，包转发率≥108Mpps（若存在双参数，以较小参数为准）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3.支持交换机端口设置为信任端口或非信任端口，非信任端口也可设置白名单响应DHCP报文；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4.支持STP、RSTP、MSTP协议；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5.支持4K个VLAN，支持MAC地址≥16K，支持MAC地址自动学习，支持源MAC地址过滤，支持接口MAC地址学习个数限制；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6.ARP表≥2K，支持DHCP Server，支持静态路由，路由表≥64，组播条目≥500；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7.★支持WEB网管特</w:t>
            </w: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8口POE交换机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1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1.千兆POE电口≥8个， 千兆 SFP光口≥2个；Console口≥1个；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2.支持IEEE 802.3af/at供电标准，单端口最大输出功率≥30W，整机最大输出功率≥140W；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3.★交换性能≥256Gbps，包转发率≥27Mpps，（若存在双参数，以较小参数为准）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4.支持交换机端口设置为信任端口或非信任端口，非信任端口也可设置白名单响应DHCP报文；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5.支持STP、RSTP、MSTP协议；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6.支持4K个VLAN；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7.支持IEEE 802.3az 标准的 EEE节能技术：当EEE使能时，从而大幅度的减小端口在该阶段的功耗，达到了节能的目的；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8.支持MAC地址≥8K，支持MAC地址自动学习，支持源MAC地址过滤，支持接口MAC地址学习个数限制；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9.ARP表≥2046，组播条目≥500；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10.★支持WEB网管特性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核心交换机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1.★千兆电口≥24个，10G SFP+万兆光口≥4个，1个Console口；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提供官网截图证明并加盖投标人公章；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2.交换性能：336Gbps/3.36Tbps；包转发率：108Mpps/126Mpps（若存在双参数，以较小参数为准）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3.支持≥16K MAC地址；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4.★支持智能交换机和普通交换机两种工作模式，可以根据不同的组网需要，随时灵活的进行切换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5.★支持M-LAG技术，跨设备链路聚合（非堆叠技术实现），要求配对的设备有独立的控制平面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6.为保证设备在受到外界机械碰撞时能够正常运行，要求所投交换机IK防护测试级别至少达到IK06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7.★为满足网络安全建设需求，交换机需满足《信息安全技术 交换机安全技术要求 GA/T 684-2007》,符合安全交换机标准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无线控制器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1.整机固化千兆以太网口≥5个，千兆光电复用口≥1个，USB口≥1个，Console口≥1个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为保证业务不中断，支持出口链路支持冗余备份功能WAN口≥2个。为满足业务上网需求，网络设备出口带宽≥1600Mbps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为满足全员网络办公需求，网络设备承载在线终端数≥2000个，支持管理AP数量≥450个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4.为满足本次项目需求，须配置Ipsec VPN模块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5.为满足本次项目需求，须配置行为管理模块功能授权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6.支持802.11a/b/g/n/ac/ax等协议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支持查看实时流量收发状态、在线状态、认证类型、在线时长、VLAN信息、终端信息、接入位置等信息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支持批量创建不少于1500个终端认证授权，支持批量导入账号及描述信息，支持首次登录后强制修改密码等方便账号管理运维的功能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9.支持静态白名单、黑名单，支持手动加入黑名单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10.支持基于端到端的QoS服务策略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11.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支持应用识别，能识别不低于300种常见的网络应用，能识别邮件、游戏、P2P流媒体、WEB流媒体、金融交易、办公OA、移动终端应用等主流应用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12.支持DIY创建应用/服务/网站的规则库内容用于访问控制策略调用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13.支持针对不通流量内容设定保证通道，针对上/下行、IP地址端、时间、线路等维度进行进行通道带宽的保证，以便具有良好的使用体验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14.支持针对不通流量内容设定限制通道，针对上/下行、IP地址端、时间、线路等维度进行进行通道带宽的限制，以避免带宽等网络资源的浪费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15.支持基于内部用户和访客单独区分设置单用户的上下行流速限制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16.支持功率自动/手动调整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17.支持禁止DHCP请求发往无线终端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18.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禁止mdns请求发往无线终端、禁止nbns发往无线终端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19.支持多播优化、广播优化、ARP广播转单播，有效减少无线空口资源不必要的浪费，提升使用体验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20.支持信道自动调整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配置无线AP管理授权32个。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光纤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 w:firstLine="36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室外4芯单模光纤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光模块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传输速率: 1.25Gb/s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传输距离: 单模10公里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发射波长: 1310nm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接收波长: 1310nm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FF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kern w:val="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网线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  <w:t>六类非屏蔽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lang w:val="en-US"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机房管理软件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leftChars="0" w:firstLine="422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师演示,将教师机的屏幕画面实时同步广播给全体、部分或单个学生，进行教学演示。并同时提供电子教鞭、电子黑板/白板等功能，同时支持窗口或全屏幕模式的演示方式。同时，还可以将广播的图像画面以动画影像的形式录制下来，制作成课件或教材，以供重复使用或与其他老师共享。而且，也可以将事先录制好的屏幕画面通过网络回放直接演示给学生机，借助该功能，可以帮助您实现教学的自动化、规范化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leftChars="0" w:firstLine="422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学生示范,可以指定任意一个学生对其他的一组学生进行示范操作，让学生之间也可以进行相互交流和学习。同时支持窗口或全屏幕模式的示范方式。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leftChars="0" w:firstLine="422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教师演示＋录制,可以在执行“教师演示”广播教师机上的屏幕画面的同时，将广播的图像画面以动画影像的形式录制下来，制作成课件或教材，以供重复使用或与其他老师共享。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2" w:leftChars="0" w:firstLine="422" w:firstLineChars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屏幕回放＋演示,可以将事先录制好的屏幕画面通过回放直接演示给学生机，借助该功能，可以帮助实现教学的自动化、规范化。黑屏肃静,锁定某个或全部学生机电脑的键盘和鼠标，而屏幕显示黑屏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、语音教学,通过话筒和耳机进行语音广播，实现教师与学生之间自由的语音交谈和讨论。包括：网上语音广播、两人交谈、多方讨论和语音监听等。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、网络影院,可以将VCD/MPEG/AVI/MP3/WAV/MOV/RM/RMVB等视频流节目播放到全体或指定的学生电脑上。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、屏幕监视,可以实时（循环）监视一个或多个学生的电脑屏幕画面，实现对整个网络上学生机的监控与管理。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、遥控辅导,教师可以直接遥控和操作任何一个学生的计算机，与被遥控学生进行双向交流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、网络考试,实现无纸化考试，实现班级统一考试、在线模拟考试和自测、制作试卷、管理试卷、分发试卷、学生答卷、自动阅卷、成绩查询、答卷查询等等功能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电子教鞭,可以直接在屏幕上绘画各种图形标记，书写文字，配合教学广播功能。并同时提供电子黑板/白板功能。屏幕录制,屏幕回放,录制好的屏幕画面，以动画影像的形式存储，通过“屏幕回放”功能可以进行播放，再现录制时的屏幕画面。电子抢答,电子抢答帮助学生在趣味竞赛中学习，并协助教师及时检验学习效果，发现问题、解决问题。电子点名,协助教师进行课堂考勤。电子举手,学生有问题要咨询老师时，可以随时呼叫老师，老师可以对举手的学生通过语音或文字的方式随时应答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、网上消息,自由的信息交流，建立了老师与学生、学生与学生之间的另一类交互式沟通方法。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、文件传输,可以将一个或多个文件一次性的传输到指定的学生机上，并且可以指定在传输结束后自动打开或运行传输的文件。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、提交作业,学生可以向老师提交多个文件和目录等作业，配合教师机的“文件传输”功能，实现学生作业的网上分发与提交。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、联机讨论,老师与学生、学生与学生之间进行语音和文字的聊天。所有的文字内容都能被自动保存下来形成历史记录，需要时可以随时查阅。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、远端信息,可以在教师机上获得所有学生机的基本配置信息，以方便管理。获取的信息包括：操作系统、内存使用情况、磁盘分配与空间、网络属性/协议/服务、IP地址的分配、参数设置情况、座位安排等。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、应用程序,进程信息,可以即时查看每台学生机上已经打开的应用程序，以及正在运行的进程信息。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、上线情况,所有学生机的上线、未上线、退出、异常退出或逃脱、网络掉线等各种学生上线情况都可以即时检测和发现，提供详情供老师查询，并能即时向老师提示最新状况，以便做出即时处理。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、计划任务,按照预定的时间自动执行时间提醒、发送消息、执行远程命令等。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远程管理,远程命令,远程统一开关机和重新启动电脑、允许/禁止学生机发送网上消息、允许/禁止学生机提交作业、同步系统参数设置、学生机同步升级服务、同步系统时间等等。另外，还可以直接同步打开学生机上的应用程序，让他们统一进入要讲授课程的界面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、班级管理,可以进行多个班级配置管理，可以安排学生的座位，可以进行分组管理和教学演示，可以监视学生电脑的当前状态等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、自订功能,老师可以根据自己的喜好，把自己常用的功能按钮在工具条上显示出来，还可以调整先后次序。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、硬盘检测,硬盘检测、软硬件资产侦测及盘点：侦测学生端的软硬件资产信息，并比对上一次信息，及时发现、制止软硬件资产的流失，并减轻机房管理员每年数次逐台进行电脑资产盘点的负担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、分组教学,分组教学可按需将班级学生分成多个教学组，每一个组中可再进行组类教学，其中包括广播，语音，对讲，监看，遥控，文件传输，联机讨论，网上影院等。辅助教师进行小班化，分类化教学。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、行为管理,教师可以实时了解学生上课缺席情况，灵活掌控学生机上网和USB端口使用权限。高效控制教学质量。提供电子点名、上网限制、USB禁用等功能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断网锁屏,系统内含断网锁屏机制，当被控端进行拔掉网线、禁用网卡等操作，造成网络突然中断，被控端会进入锁屏状态，此时学生不可再操作电脑。锁屏状态下，电脑会发出嘀嘀的声音以示报警。学生没有移除密码，将无法移除学生机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课堂测试及统计,课堂测试及统计，老师可对学生进行随堂测试或调查，课题支持单选题、多选题、判断题、填空题、问答题，调查单选，调查多选，调查问答。对答卷自动分析和统计，统计表格可保存为Excel文档或Web网页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、网络共享，在老师启动网络共享目录后，学生端可以打开老师机的共享目录，并进行文件的浏览和下载。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、屏幕截屏技术采用局部截屏效率模式，采用应用层技术截屏，高兼容性（支持winXP，win7，win8，win10及win11系统），不采用显卡驱动类包括镜像驱动(兼容性不足问题)。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60" w:firstLineChars="200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29、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投标公司要提供产品著作权证书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lang w:val="en-US" w:eastAsia="zh-CN"/>
              </w:rPr>
              <w:t>(提供第三方权威机构检测报告并加盖投标人公章)。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95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机柜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32u，含8位PDU和散热风扇,静载600KG，表面静电喷塑。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配电箱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24回路，1P+N空开16A.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插盘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10插位，最大功率2500w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电线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含4平和2.5平纯铜芯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80" w:firstLineChars="100"/>
              <w:jc w:val="both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lang w:val="en-US" w:eastAsia="zh-CN"/>
              </w:rPr>
              <w:t>辅材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水晶头、线标、软管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  <w:t>线槽、扎带</w:t>
            </w: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 w:firstLine="36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 w:firstLine="36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72" w:type="dxa"/>
            <w:vAlign w:val="center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lang w:val="en-US" w:eastAsia="zh-CN"/>
              </w:rPr>
              <w:t>集成安装</w:t>
            </w: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  <w:t>设备布线、安装调试、系统集成等。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 w:firstLine="36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Chars="100" w:firstLine="360" w:firstLineChars="200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本次询价全部内容为“交钥匙”工程，供应商报价应包括劳务、制作、运输、仓储、管理、保险、利润、税金、政策性文件规定及合同包含的所有风险、责任等各项应有费用。伴随服务的费用均已含在合同价款中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2、质保要求：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（1）所有</w:t>
      </w:r>
      <w:r>
        <w:rPr>
          <w:rFonts w:hint="default" w:ascii="宋体" w:hAnsi="宋体" w:eastAsia="宋体" w:cs="宋体"/>
          <w:szCs w:val="21"/>
          <w:lang w:val="en-US" w:eastAsia="zh-CN"/>
        </w:rPr>
        <w:t>设备安装验收交付使用之日起，免费提供</w:t>
      </w:r>
      <w:r>
        <w:rPr>
          <w:rFonts w:hint="eastAsia" w:ascii="宋体" w:hAnsi="宋体" w:eastAsia="宋体" w:cs="宋体"/>
          <w:szCs w:val="21"/>
          <w:lang w:val="en-US" w:eastAsia="zh-CN"/>
        </w:rPr>
        <w:t>三</w:t>
      </w:r>
      <w:r>
        <w:rPr>
          <w:rFonts w:hint="default" w:ascii="宋体" w:hAnsi="宋体" w:eastAsia="宋体" w:cs="宋体"/>
          <w:szCs w:val="21"/>
          <w:lang w:val="en-US" w:eastAsia="zh-CN"/>
        </w:rPr>
        <w:t>年的技术支持及维保服务，确保设备使用正常,并对所有成交产品实行终身保修,系统应用软件终身免费升级，并保证系统长期正常工作所需的备品备件供应。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（2）</w:t>
      </w:r>
      <w:r>
        <w:rPr>
          <w:rFonts w:hint="default" w:ascii="宋体" w:hAnsi="宋体" w:eastAsia="宋体" w:cs="宋体"/>
          <w:szCs w:val="21"/>
          <w:lang w:val="en-US" w:eastAsia="zh-CN"/>
        </w:rPr>
        <w:t>设备或系统在使用过程中，如出现故障，供应商须在接到采购人通知后1小时内响应，2小时内抵达现场，最迟24小时内解决故障。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（3）</w:t>
      </w:r>
      <w:r>
        <w:rPr>
          <w:rFonts w:hint="default" w:ascii="宋体" w:hAnsi="宋体" w:eastAsia="宋体" w:cs="宋体"/>
          <w:szCs w:val="21"/>
          <w:lang w:val="en-US" w:eastAsia="zh-CN"/>
        </w:rPr>
        <w:t>质保期满后，若有零部件出现故障，经权威部门鉴定属于寿命异常问题(明显短于该零部件正常寿命)时，则由供应商负责免费更换维修。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（4）</w:t>
      </w:r>
      <w:r>
        <w:rPr>
          <w:rFonts w:hint="default" w:ascii="宋体" w:hAnsi="宋体" w:eastAsia="宋体" w:cs="宋体"/>
          <w:szCs w:val="21"/>
          <w:lang w:val="en-US" w:eastAsia="zh-CN"/>
        </w:rPr>
        <w:t>质保期满后，应采购人要求，供应商应参考届时的市场价格，以优惠的价格向采购人提供必须的零配件。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2、交货时间：合同签订生效之日起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Cs w:val="21"/>
        </w:rPr>
        <w:t xml:space="preserve"> 天内交货。如不能按时完成，视为虚假响应，采购人有权解除合同。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3、交货地点：按采购单位的实际需要送至指定地点。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szCs w:val="21"/>
          <w:lang w:eastAsia="zh-CN"/>
        </w:rPr>
        <w:t>以上加</w:t>
      </w:r>
      <w:r>
        <w:rPr>
          <w:rFonts w:hint="eastAsia" w:ascii="宋体" w:hAnsi="宋体" w:eastAsia="宋体" w:cs="宋体"/>
          <w:szCs w:val="21"/>
        </w:rPr>
        <w:t>★</w:t>
      </w:r>
      <w:r>
        <w:rPr>
          <w:rFonts w:hint="eastAsia" w:ascii="宋体" w:hAnsi="宋体" w:eastAsia="宋体" w:cs="宋体"/>
          <w:szCs w:val="21"/>
          <w:lang w:eastAsia="zh-CN"/>
        </w:rPr>
        <w:t>项须提供相关技术证明文件。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技术参数中的所有内容均为实质性响应条件，本项目只接受完全响应或者正偏离，如不满足将作无效响应文件处理。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5、为保证产品质量无异议，询价文件需完整、明确列出响应产品的品牌、型号，否则作为无效响应处理。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6、货物须经采购人验货后才能进场施工，验收时或验收后若发现不符合本次采购文书要求的将做退回处理，所有损失由成交方承担。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ascii="宋体" w:hAnsi="宋体" w:eastAsia="宋体"/>
          <w:b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643B8"/>
    <w:multiLevelType w:val="singleLevel"/>
    <w:tmpl w:val="1C1643B8"/>
    <w:lvl w:ilvl="0" w:tentative="0">
      <w:start w:val="1"/>
      <w:numFmt w:val="decimal"/>
      <w:suff w:val="nothing"/>
      <w:lvlText w:val="%1、"/>
      <w:lvlJc w:val="left"/>
      <w:pPr>
        <w:ind w:left="-2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57BBF2A1"/>
    <w:multiLevelType w:val="singleLevel"/>
    <w:tmpl w:val="57BBF2A1"/>
    <w:lvl w:ilvl="0" w:tentative="0">
      <w:start w:val="1"/>
      <w:numFmt w:val="chineseCounting"/>
      <w:suff w:val="nothing"/>
      <w:lvlText w:val="%1、"/>
      <w:lvlJc w:val="left"/>
      <w:pPr>
        <w:ind w:left="-21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ZTAzNGExNTZkMzNmYWJiMGNkOGVkOWQ0MGIyNzYifQ=="/>
  </w:docVars>
  <w:rsids>
    <w:rsidRoot w:val="0075776D"/>
    <w:rsid w:val="00106021"/>
    <w:rsid w:val="00153156"/>
    <w:rsid w:val="001E1663"/>
    <w:rsid w:val="001F2835"/>
    <w:rsid w:val="002232DE"/>
    <w:rsid w:val="0022379F"/>
    <w:rsid w:val="00234A06"/>
    <w:rsid w:val="002F2107"/>
    <w:rsid w:val="00300C20"/>
    <w:rsid w:val="00354687"/>
    <w:rsid w:val="003613A9"/>
    <w:rsid w:val="003E1617"/>
    <w:rsid w:val="004178C9"/>
    <w:rsid w:val="004A1333"/>
    <w:rsid w:val="004E4B98"/>
    <w:rsid w:val="004F256A"/>
    <w:rsid w:val="00512575"/>
    <w:rsid w:val="005759EC"/>
    <w:rsid w:val="005E4FC4"/>
    <w:rsid w:val="005F44FC"/>
    <w:rsid w:val="006F7FF4"/>
    <w:rsid w:val="007043C5"/>
    <w:rsid w:val="00754F1E"/>
    <w:rsid w:val="0075776D"/>
    <w:rsid w:val="0077159E"/>
    <w:rsid w:val="007F7A01"/>
    <w:rsid w:val="007F7A7D"/>
    <w:rsid w:val="007F7DD1"/>
    <w:rsid w:val="00830169"/>
    <w:rsid w:val="00895CEC"/>
    <w:rsid w:val="008F76F4"/>
    <w:rsid w:val="009379FE"/>
    <w:rsid w:val="0097507E"/>
    <w:rsid w:val="00985037"/>
    <w:rsid w:val="009B55A5"/>
    <w:rsid w:val="00AE6298"/>
    <w:rsid w:val="00B54E99"/>
    <w:rsid w:val="00C57C26"/>
    <w:rsid w:val="00C911E6"/>
    <w:rsid w:val="00C955AF"/>
    <w:rsid w:val="00D10798"/>
    <w:rsid w:val="00DC6AAD"/>
    <w:rsid w:val="00DF3073"/>
    <w:rsid w:val="00DF35F7"/>
    <w:rsid w:val="00E039C4"/>
    <w:rsid w:val="00EB2F01"/>
    <w:rsid w:val="00FA453E"/>
    <w:rsid w:val="08162058"/>
    <w:rsid w:val="176C570F"/>
    <w:rsid w:val="18152103"/>
    <w:rsid w:val="1DB472A2"/>
    <w:rsid w:val="20555FB8"/>
    <w:rsid w:val="2C386D18"/>
    <w:rsid w:val="340136B8"/>
    <w:rsid w:val="392A7355"/>
    <w:rsid w:val="456F353E"/>
    <w:rsid w:val="5A942E60"/>
    <w:rsid w:val="5B4763E5"/>
    <w:rsid w:val="5DF04999"/>
    <w:rsid w:val="754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宋体" w:hAnsi="宋体" w:eastAsia="Calibri"/>
      <w:b/>
      <w:sz w:val="20"/>
      <w:lang w:val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qFormat/>
    <w:uiPriority w:val="0"/>
    <w:rPr>
      <w:rFonts w:ascii="华文中宋" w:eastAsia="华文中宋"/>
      <w:bCs/>
      <w:sz w:val="28"/>
    </w:rPr>
  </w:style>
  <w:style w:type="paragraph" w:styleId="5">
    <w:name w:val="Body Text Indent"/>
    <w:basedOn w:val="1"/>
    <w:next w:val="6"/>
    <w:qFormat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lock Text"/>
    <w:basedOn w:val="1"/>
    <w:next w:val="4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5BF9E0-D743-4D06-8CEF-FD808746C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6138</Words>
  <Characters>6948</Characters>
  <Lines>11</Lines>
  <Paragraphs>3</Paragraphs>
  <TotalTime>21</TotalTime>
  <ScaleCrop>false</ScaleCrop>
  <LinksUpToDate>false</LinksUpToDate>
  <CharactersWithSpaces>6977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2022-04-15T01:23:00Z</dcterms:created>
  <dc:creator>zhaofeng</dc:creator>
  <cp:lastModifiedBy>江苏汽车技师学院</cp:lastModifiedBy>
  <dcterms:modified xsi:type="dcterms:W3CDTF">2022-08-25T09:40:23Z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03E05755C9384DB1A86C74F793891E6A</vt:lpwstr>
  </property>
</Properties>
</file>